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8F8FC" w14:textId="20C6FD7E"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C23674">
        <w:rPr>
          <w:rFonts w:cs="Arial"/>
          <w:b/>
          <w:sz w:val="24"/>
          <w:szCs w:val="24"/>
        </w:rPr>
        <w:t>8</w:t>
      </w:r>
      <w:r w:rsidR="008A1BAE">
        <w:rPr>
          <w:rFonts w:cs="Arial"/>
          <w:b/>
          <w:sz w:val="24"/>
          <w:szCs w:val="24"/>
        </w:rPr>
        <w:t>-</w:t>
      </w:r>
      <w:r w:rsidR="002F377D">
        <w:rPr>
          <w:rFonts w:cs="Arial"/>
          <w:b/>
          <w:sz w:val="24"/>
          <w:szCs w:val="24"/>
        </w:rPr>
        <w:t>bis-</w:t>
      </w:r>
      <w:r w:rsidR="002F377D" w:rsidRPr="00CD5A36">
        <w:rPr>
          <w:rFonts w:cs="Arial"/>
          <w:b/>
          <w:sz w:val="24"/>
          <w:szCs w:val="24"/>
        </w:rPr>
        <w:t>e</w:t>
      </w:r>
      <w:r>
        <w:rPr>
          <w:rFonts w:cs="Arial"/>
          <w:b/>
          <w:sz w:val="24"/>
          <w:szCs w:val="24"/>
        </w:rPr>
        <w:tab/>
      </w:r>
      <w:r w:rsidR="00E332BD" w:rsidRPr="00E332BD">
        <w:rPr>
          <w:rFonts w:cs="Arial"/>
          <w:b/>
          <w:sz w:val="24"/>
          <w:szCs w:val="24"/>
        </w:rPr>
        <w:t>R4-</w:t>
      </w:r>
      <w:r w:rsidR="00D155E5" w:rsidRPr="00D155E5">
        <w:t xml:space="preserve"> </w:t>
      </w:r>
      <w:r w:rsidR="00D155E5" w:rsidRPr="00D155E5">
        <w:rPr>
          <w:rFonts w:cs="Arial"/>
          <w:b/>
          <w:sz w:val="24"/>
          <w:szCs w:val="24"/>
        </w:rPr>
        <w:t>210650</w:t>
      </w:r>
      <w:r w:rsidR="00D155E5">
        <w:rPr>
          <w:rFonts w:cs="Arial"/>
          <w:b/>
          <w:sz w:val="24"/>
          <w:szCs w:val="24"/>
        </w:rPr>
        <w:t>5</w:t>
      </w:r>
    </w:p>
    <w:p w14:paraId="14C4A607" w14:textId="7EB3A97B"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bookmarkEnd w:id="0"/>
      <w:r w:rsidR="0026365F">
        <w:rPr>
          <w:rFonts w:eastAsia="SimSun"/>
          <w:b/>
          <w:sz w:val="24"/>
          <w:szCs w:val="24"/>
          <w:lang w:eastAsia="zh-CN"/>
        </w:rPr>
        <w:t>Apr. 12-20</w:t>
      </w:r>
      <w:r w:rsidR="0026365F" w:rsidRPr="00CD5A36">
        <w:rPr>
          <w:rFonts w:eastAsia="SimSun"/>
          <w:b/>
          <w:sz w:val="24"/>
          <w:szCs w:val="24"/>
          <w:lang w:eastAsia="zh-CN"/>
        </w:rPr>
        <w:t>, 2021</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338160D5"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1137E" w:rsidRPr="00C1137E">
        <w:rPr>
          <w:sz w:val="22"/>
        </w:rPr>
        <w:t>General aspects of RRM requirements for HST in FR2</w:t>
      </w:r>
      <w:r w:rsidR="00641F96">
        <w:rPr>
          <w:sz w:val="22"/>
        </w:rPr>
        <w:t xml:space="preserve"> </w:t>
      </w:r>
    </w:p>
    <w:p w14:paraId="23226DA5" w14:textId="6D596FCC"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42881" w:rsidRPr="00642881">
        <w:rPr>
          <w:bCs/>
          <w:sz w:val="22"/>
        </w:rPr>
        <w:t>8</w:t>
      </w:r>
      <w:r w:rsidR="00FC3E57" w:rsidRPr="00E46206">
        <w:rPr>
          <w:bCs/>
          <w:sz w:val="22"/>
        </w:rPr>
        <w:t>.7.4</w:t>
      </w:r>
      <w:r w:rsidR="00642881">
        <w:rPr>
          <w:bCs/>
          <w:sz w:val="22"/>
        </w:rPr>
        <w:t>.</w:t>
      </w:r>
      <w:r w:rsidR="00FC1E5C">
        <w:rPr>
          <w:bCs/>
          <w:sz w:val="22"/>
        </w:rPr>
        <w:t>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1AA93EDB" w14:textId="55773496" w:rsidR="007634BF" w:rsidRDefault="00862292" w:rsidP="000B5E8E">
      <w:r>
        <w:t xml:space="preserve">In this contribution we discuss the issue of correct beam selection under the high mobility conditions of high speed train in FR2 scenario. </w:t>
      </w:r>
    </w:p>
    <w:p w14:paraId="51E54795" w14:textId="423E2B00" w:rsidR="00D977F0" w:rsidRDefault="003B7888" w:rsidP="00D977F0">
      <w:pPr>
        <w:pStyle w:val="Heading1"/>
      </w:pPr>
      <w:r>
        <w:t>2</w:t>
      </w:r>
      <w:r>
        <w:tab/>
      </w:r>
      <w:r w:rsidR="00D977F0">
        <w:t>Discussion</w:t>
      </w:r>
    </w:p>
    <w:p w14:paraId="711C127E" w14:textId="6FD017DF" w:rsidR="0033726D" w:rsidRDefault="00A14C64" w:rsidP="00D22C58">
      <w:pPr>
        <w:rPr>
          <w:bCs/>
          <w:iCs/>
        </w:rPr>
      </w:pPr>
      <w:r>
        <w:rPr>
          <w:bCs/>
          <w:iCs/>
        </w:rPr>
        <w:t>Due to the usage of multi-element antenna arrays b</w:t>
      </w:r>
      <w:r w:rsidRPr="00A14C64">
        <w:rPr>
          <w:bCs/>
          <w:iCs/>
        </w:rPr>
        <w:t xml:space="preserve">eam management is </w:t>
      </w:r>
      <w:r>
        <w:rPr>
          <w:bCs/>
          <w:iCs/>
        </w:rPr>
        <w:t xml:space="preserve">a very important part for FR2 scenarios. Support of high mobility can significantly affect beam management and make the correct beam selection challenging. </w:t>
      </w:r>
      <w:r w:rsidR="00693491">
        <w:rPr>
          <w:bCs/>
          <w:iCs/>
        </w:rPr>
        <w:t xml:space="preserve">TS38.133 defines </w:t>
      </w:r>
      <w:r w:rsidR="0097715D">
        <w:rPr>
          <w:bCs/>
          <w:iCs/>
        </w:rPr>
        <w:t>the duration for performing the L1-RSRP measurements which are used for beam selection:</w:t>
      </w:r>
    </w:p>
    <w:p w14:paraId="55A22EBF" w14:textId="032436EF" w:rsidR="00A14C64" w:rsidRPr="00693491" w:rsidRDefault="00693491" w:rsidP="00693491">
      <w:pPr>
        <w:spacing w:after="0"/>
        <w:rPr>
          <w:bCs/>
          <w:i/>
        </w:rPr>
      </w:pPr>
      <w:r w:rsidRPr="00693491">
        <w:rPr>
          <w:bCs/>
          <w:i/>
        </w:rPr>
        <w:t>TS38.133</w:t>
      </w:r>
    </w:p>
    <w:tbl>
      <w:tblPr>
        <w:tblStyle w:val="TableGrid"/>
        <w:tblW w:w="0" w:type="auto"/>
        <w:tblLook w:val="04A0" w:firstRow="1" w:lastRow="0" w:firstColumn="1" w:lastColumn="0" w:noHBand="0" w:noVBand="1"/>
      </w:tblPr>
      <w:tblGrid>
        <w:gridCol w:w="9629"/>
      </w:tblGrid>
      <w:tr w:rsidR="0033726D" w14:paraId="1CC94617" w14:textId="77777777" w:rsidTr="0033726D">
        <w:tc>
          <w:tcPr>
            <w:tcW w:w="9629" w:type="dxa"/>
          </w:tcPr>
          <w:p w14:paraId="5CFE2473" w14:textId="6FC02F85" w:rsidR="0033726D" w:rsidRDefault="0033726D" w:rsidP="00693491">
            <w:pPr>
              <w:jc w:val="center"/>
              <w:rPr>
                <w:b/>
                <w:iCs/>
              </w:rPr>
            </w:pPr>
            <w:r>
              <w:rPr>
                <w:b/>
                <w:iCs/>
                <w:noProof/>
              </w:rPr>
              <w:drawing>
                <wp:inline distT="0" distB="0" distL="0" distR="0" wp14:anchorId="3AEBF216" wp14:editId="305CC29B">
                  <wp:extent cx="4761256" cy="1382573"/>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8977"/>
                          <a:stretch/>
                        </pic:blipFill>
                        <pic:spPr bwMode="auto">
                          <a:xfrm>
                            <a:off x="0" y="0"/>
                            <a:ext cx="4803969" cy="139497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616F7DD" w14:textId="263B0424" w:rsidR="0033726D" w:rsidRDefault="0033726D" w:rsidP="00D22C58">
      <w:pPr>
        <w:rPr>
          <w:b/>
          <w:iCs/>
        </w:rPr>
      </w:pPr>
    </w:p>
    <w:p w14:paraId="411AADBF" w14:textId="5C12466C" w:rsidR="0033726D" w:rsidRPr="00A963E3" w:rsidRDefault="00693491" w:rsidP="00D22C58">
      <w:pPr>
        <w:rPr>
          <w:bCs/>
          <w:iCs/>
        </w:rPr>
      </w:pPr>
      <w:r>
        <w:rPr>
          <w:bCs/>
          <w:iCs/>
        </w:rPr>
        <w:t xml:space="preserve">In that table N is the scaling factor which reflects the RX beam sweeping. Specification defines N=8. For the rest parameters (M and P) we will assume the minimal value </w:t>
      </w:r>
      <w:r>
        <w:rPr>
          <w:bCs/>
          <w:iCs/>
        </w:rPr>
        <w:t xml:space="preserve">M=P=1 </w:t>
      </w:r>
      <w:r>
        <w:rPr>
          <w:bCs/>
          <w:iCs/>
        </w:rPr>
        <w:t>which can be achieved through proper configuration</w:t>
      </w:r>
      <w:r w:rsidR="00D864E0">
        <w:rPr>
          <w:bCs/>
          <w:iCs/>
          <w:lang w:val="en-US"/>
        </w:rPr>
        <w:t>.</w:t>
      </w:r>
      <w:r>
        <w:rPr>
          <w:bCs/>
          <w:iCs/>
        </w:rPr>
        <w:t xml:space="preserve"> </w:t>
      </w:r>
      <w:r w:rsidR="00A963E3">
        <w:rPr>
          <w:bCs/>
          <w:iCs/>
        </w:rPr>
        <w:t>Assuming</w:t>
      </w:r>
      <w:r w:rsidR="0033726D" w:rsidRPr="0033726D">
        <w:rPr>
          <w:bCs/>
          <w:iCs/>
        </w:rPr>
        <w:t xml:space="preserve"> </w:t>
      </w:r>
      <w:r>
        <w:rPr>
          <w:bCs/>
          <w:iCs/>
        </w:rPr>
        <w:t xml:space="preserve">also </w:t>
      </w:r>
      <w:r w:rsidR="00A963E3">
        <w:rPr>
          <w:bCs/>
          <w:iCs/>
        </w:rPr>
        <w:t>T</w:t>
      </w:r>
      <w:r w:rsidR="00A963E3" w:rsidRPr="00A963E3">
        <w:rPr>
          <w:bCs/>
          <w:iCs/>
          <w:vertAlign w:val="subscript"/>
        </w:rPr>
        <w:t>SSB</w:t>
      </w:r>
      <w:r w:rsidR="00A963E3">
        <w:rPr>
          <w:bCs/>
          <w:iCs/>
          <w:vertAlign w:val="subscript"/>
        </w:rPr>
        <w:t xml:space="preserve"> </w:t>
      </w:r>
      <w:r w:rsidR="00A963E3">
        <w:rPr>
          <w:bCs/>
          <w:iCs/>
        </w:rPr>
        <w:t xml:space="preserve">=20ms </w:t>
      </w:r>
      <w:r>
        <w:rPr>
          <w:bCs/>
          <w:iCs/>
        </w:rPr>
        <w:t>we can obtain the values for L1-RSRP measurement periods for different DRX cycles</w:t>
      </w:r>
      <w:r w:rsidR="00395084">
        <w:rPr>
          <w:bCs/>
          <w:iCs/>
        </w:rPr>
        <w:t xml:space="preserve"> (see Table 2-1). We also added the distance travelled by UE under assumption of 350km/h velocity.</w:t>
      </w:r>
      <w:r w:rsidR="00D864E0">
        <w:rPr>
          <w:bCs/>
          <w:iCs/>
        </w:rPr>
        <w:t xml:space="preserve"> As we can see, the distinctive value T</w:t>
      </w:r>
      <w:r w:rsidR="00D864E0" w:rsidRPr="00D864E0">
        <w:rPr>
          <w:bCs/>
          <w:iCs/>
          <w:vertAlign w:val="subscript"/>
        </w:rPr>
        <w:t>DRX</w:t>
      </w:r>
      <w:r w:rsidR="00D864E0">
        <w:rPr>
          <w:bCs/>
          <w:iCs/>
        </w:rPr>
        <w:t>=320ms which is used to differentiate requirements will lead to measurement period equal to 3840ms. During that period UE will pass the half of the distance between neighbouring RRH. Such rare measurements are not acceptable.</w:t>
      </w:r>
    </w:p>
    <w:p w14:paraId="531B585B" w14:textId="318553B1" w:rsidR="00447704" w:rsidRDefault="000561D8" w:rsidP="005F5692">
      <w:pPr>
        <w:ind w:left="284"/>
        <w:jc w:val="center"/>
        <w:rPr>
          <w:b/>
          <w:iCs/>
        </w:rPr>
      </w:pPr>
      <w:r>
        <w:rPr>
          <w:b/>
          <w:iCs/>
        </w:rPr>
        <w:t xml:space="preserve">Table 2-1: L1-RSRP measurement </w:t>
      </w:r>
      <w:r w:rsidR="005F5692">
        <w:rPr>
          <w:b/>
          <w:iCs/>
        </w:rPr>
        <w:t>period analysis</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65"/>
        <w:gridCol w:w="715"/>
        <w:gridCol w:w="687"/>
        <w:gridCol w:w="688"/>
        <w:gridCol w:w="687"/>
        <w:gridCol w:w="688"/>
        <w:gridCol w:w="687"/>
        <w:gridCol w:w="688"/>
        <w:gridCol w:w="687"/>
        <w:gridCol w:w="688"/>
        <w:gridCol w:w="687"/>
        <w:gridCol w:w="688"/>
      </w:tblGrid>
      <w:tr w:rsidR="00D864E0" w:rsidRPr="0033726D" w14:paraId="1B31F6D4" w14:textId="77777777" w:rsidTr="00D864E0">
        <w:trPr>
          <w:trHeight w:val="265"/>
        </w:trPr>
        <w:tc>
          <w:tcPr>
            <w:tcW w:w="2065" w:type="dxa"/>
            <w:shd w:val="clear" w:color="auto" w:fill="auto"/>
            <w:noWrap/>
            <w:vAlign w:val="center"/>
            <w:hideMark/>
          </w:tcPr>
          <w:p w14:paraId="6A7B5636" w14:textId="64E6C38E" w:rsidR="00D864E0" w:rsidRPr="0033726D" w:rsidRDefault="00D864E0" w:rsidP="0033726D">
            <w:pPr>
              <w:overflowPunct/>
              <w:autoSpaceDE/>
              <w:autoSpaceDN/>
              <w:adjustRightInd/>
              <w:spacing w:after="0"/>
              <w:textAlignment w:val="auto"/>
              <w:rPr>
                <w:rFonts w:ascii="Calibri" w:eastAsia="Times New Roman" w:hAnsi="Calibri" w:cs="Calibri"/>
                <w:color w:val="000000"/>
                <w:sz w:val="16"/>
                <w:szCs w:val="16"/>
                <w:vertAlign w:val="subscript"/>
                <w:lang w:val="en-US"/>
              </w:rPr>
            </w:pPr>
            <w:r w:rsidRPr="0033726D">
              <w:rPr>
                <w:rFonts w:ascii="Arial-BoldMT" w:hAnsi="Arial-BoldMT"/>
                <w:b/>
                <w:bCs/>
                <w:color w:val="000000"/>
                <w:sz w:val="16"/>
                <w:szCs w:val="16"/>
              </w:rPr>
              <w:t>T</w:t>
            </w:r>
            <w:r w:rsidRPr="0033726D">
              <w:rPr>
                <w:rFonts w:ascii="Arial-BoldMT" w:hAnsi="Arial-BoldMT"/>
                <w:b/>
                <w:bCs/>
                <w:color w:val="000000"/>
                <w:sz w:val="16"/>
                <w:szCs w:val="16"/>
                <w:vertAlign w:val="subscript"/>
              </w:rPr>
              <w:t>DRX</w:t>
            </w:r>
            <w:r>
              <w:rPr>
                <w:rFonts w:ascii="Arial-BoldMT" w:hAnsi="Arial-BoldMT"/>
                <w:b/>
                <w:bCs/>
                <w:color w:val="000000"/>
                <w:sz w:val="16"/>
                <w:szCs w:val="16"/>
                <w:vertAlign w:val="subscript"/>
              </w:rPr>
              <w:t xml:space="preserve"> </w:t>
            </w:r>
            <w:r w:rsidRPr="00D864E0">
              <w:rPr>
                <w:rFonts w:ascii="Arial-BoldMT" w:hAnsi="Arial-BoldMT"/>
                <w:b/>
                <w:bCs/>
                <w:color w:val="000000"/>
                <w:sz w:val="16"/>
                <w:szCs w:val="16"/>
              </w:rPr>
              <w:t>(</w:t>
            </w:r>
            <w:proofErr w:type="spellStart"/>
            <w:r>
              <w:rPr>
                <w:rFonts w:ascii="Arial-BoldMT" w:hAnsi="Arial-BoldMT"/>
                <w:b/>
                <w:bCs/>
                <w:color w:val="000000"/>
                <w:sz w:val="16"/>
                <w:szCs w:val="16"/>
              </w:rPr>
              <w:t>ms</w:t>
            </w:r>
            <w:proofErr w:type="spellEnd"/>
            <w:r w:rsidRPr="00D864E0">
              <w:rPr>
                <w:rFonts w:ascii="Arial-BoldMT" w:hAnsi="Arial-BoldMT"/>
                <w:b/>
                <w:bCs/>
                <w:color w:val="000000"/>
                <w:sz w:val="16"/>
                <w:szCs w:val="16"/>
              </w:rPr>
              <w:t>)</w:t>
            </w:r>
          </w:p>
        </w:tc>
        <w:tc>
          <w:tcPr>
            <w:tcW w:w="715" w:type="dxa"/>
            <w:shd w:val="clear" w:color="auto" w:fill="auto"/>
            <w:noWrap/>
            <w:vAlign w:val="center"/>
            <w:hideMark/>
          </w:tcPr>
          <w:p w14:paraId="18A735D4"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No DRX</w:t>
            </w:r>
          </w:p>
        </w:tc>
        <w:tc>
          <w:tcPr>
            <w:tcW w:w="687" w:type="dxa"/>
            <w:shd w:val="clear" w:color="auto" w:fill="auto"/>
            <w:noWrap/>
            <w:vAlign w:val="center"/>
            <w:hideMark/>
          </w:tcPr>
          <w:p w14:paraId="61C8C22E"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20</w:t>
            </w:r>
          </w:p>
        </w:tc>
        <w:tc>
          <w:tcPr>
            <w:tcW w:w="688" w:type="dxa"/>
            <w:shd w:val="clear" w:color="auto" w:fill="auto"/>
            <w:noWrap/>
            <w:vAlign w:val="center"/>
            <w:hideMark/>
          </w:tcPr>
          <w:p w14:paraId="204A321F"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40</w:t>
            </w:r>
          </w:p>
        </w:tc>
        <w:tc>
          <w:tcPr>
            <w:tcW w:w="687" w:type="dxa"/>
            <w:shd w:val="clear" w:color="auto" w:fill="auto"/>
            <w:noWrap/>
            <w:vAlign w:val="center"/>
            <w:hideMark/>
          </w:tcPr>
          <w:p w14:paraId="5971A2A8"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60</w:t>
            </w:r>
          </w:p>
        </w:tc>
        <w:tc>
          <w:tcPr>
            <w:tcW w:w="688" w:type="dxa"/>
            <w:shd w:val="clear" w:color="auto" w:fill="auto"/>
            <w:noWrap/>
            <w:vAlign w:val="center"/>
            <w:hideMark/>
          </w:tcPr>
          <w:p w14:paraId="1AA8F1B2"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70</w:t>
            </w:r>
          </w:p>
        </w:tc>
        <w:tc>
          <w:tcPr>
            <w:tcW w:w="687" w:type="dxa"/>
            <w:shd w:val="clear" w:color="auto" w:fill="auto"/>
            <w:noWrap/>
            <w:vAlign w:val="center"/>
            <w:hideMark/>
          </w:tcPr>
          <w:p w14:paraId="5E4CE7BE"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80</w:t>
            </w:r>
          </w:p>
        </w:tc>
        <w:tc>
          <w:tcPr>
            <w:tcW w:w="688" w:type="dxa"/>
            <w:shd w:val="clear" w:color="auto" w:fill="auto"/>
            <w:noWrap/>
            <w:vAlign w:val="center"/>
            <w:hideMark/>
          </w:tcPr>
          <w:p w14:paraId="47635910"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128</w:t>
            </w:r>
          </w:p>
        </w:tc>
        <w:tc>
          <w:tcPr>
            <w:tcW w:w="687" w:type="dxa"/>
            <w:shd w:val="clear" w:color="auto" w:fill="auto"/>
            <w:noWrap/>
            <w:vAlign w:val="center"/>
            <w:hideMark/>
          </w:tcPr>
          <w:p w14:paraId="7E276EB3"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256</w:t>
            </w:r>
          </w:p>
        </w:tc>
        <w:tc>
          <w:tcPr>
            <w:tcW w:w="688" w:type="dxa"/>
            <w:shd w:val="clear" w:color="auto" w:fill="auto"/>
            <w:noWrap/>
            <w:vAlign w:val="center"/>
            <w:hideMark/>
          </w:tcPr>
          <w:p w14:paraId="49CED285"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320</w:t>
            </w:r>
          </w:p>
        </w:tc>
        <w:tc>
          <w:tcPr>
            <w:tcW w:w="687" w:type="dxa"/>
            <w:shd w:val="clear" w:color="auto" w:fill="auto"/>
            <w:noWrap/>
            <w:vAlign w:val="center"/>
            <w:hideMark/>
          </w:tcPr>
          <w:p w14:paraId="1E6F1E25"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512</w:t>
            </w:r>
          </w:p>
        </w:tc>
        <w:tc>
          <w:tcPr>
            <w:tcW w:w="688" w:type="dxa"/>
            <w:shd w:val="clear" w:color="auto" w:fill="auto"/>
            <w:noWrap/>
            <w:vAlign w:val="center"/>
            <w:hideMark/>
          </w:tcPr>
          <w:p w14:paraId="27E44583"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640</w:t>
            </w:r>
          </w:p>
        </w:tc>
      </w:tr>
      <w:tr w:rsidR="00D864E0" w:rsidRPr="0033726D" w14:paraId="35BC5C90" w14:textId="77777777" w:rsidTr="00D864E0">
        <w:trPr>
          <w:trHeight w:val="265"/>
        </w:trPr>
        <w:tc>
          <w:tcPr>
            <w:tcW w:w="2065" w:type="dxa"/>
            <w:shd w:val="clear" w:color="auto" w:fill="auto"/>
            <w:noWrap/>
            <w:vAlign w:val="center"/>
            <w:hideMark/>
          </w:tcPr>
          <w:p w14:paraId="66D6D464" w14:textId="5FE27DA6" w:rsidR="00D864E0" w:rsidRPr="0033726D" w:rsidRDefault="00D864E0" w:rsidP="0033726D">
            <w:pPr>
              <w:overflowPunct/>
              <w:autoSpaceDE/>
              <w:autoSpaceDN/>
              <w:adjustRightInd/>
              <w:spacing w:after="0"/>
              <w:textAlignment w:val="auto"/>
              <w:rPr>
                <w:rFonts w:ascii="Arial-BoldMT" w:hAnsi="Arial-BoldMT"/>
                <w:b/>
                <w:bCs/>
                <w:color w:val="000000"/>
                <w:sz w:val="16"/>
                <w:szCs w:val="16"/>
              </w:rPr>
            </w:pPr>
            <w:r w:rsidRPr="0033726D">
              <w:rPr>
                <w:rFonts w:ascii="Arial-BoldMT" w:hAnsi="Arial-BoldMT"/>
                <w:b/>
                <w:bCs/>
                <w:color w:val="000000"/>
                <w:sz w:val="16"/>
                <w:szCs w:val="16"/>
              </w:rPr>
              <w:t>T</w:t>
            </w:r>
            <w:r w:rsidRPr="0033726D">
              <w:rPr>
                <w:rFonts w:ascii="Arial-BoldMT" w:hAnsi="Arial-BoldMT"/>
                <w:b/>
                <w:bCs/>
                <w:color w:val="000000"/>
                <w:sz w:val="16"/>
                <w:szCs w:val="16"/>
                <w:vertAlign w:val="subscript"/>
              </w:rPr>
              <w:t>L1-RSRP_Measurement_Period</w:t>
            </w:r>
            <w:r>
              <w:rPr>
                <w:rFonts w:ascii="Arial-BoldMT" w:hAnsi="Arial-BoldMT"/>
                <w:b/>
                <w:bCs/>
                <w:color w:val="000000"/>
                <w:sz w:val="16"/>
                <w:szCs w:val="16"/>
                <w:vertAlign w:val="subscript"/>
              </w:rPr>
              <w:t xml:space="preserve"> </w:t>
            </w:r>
            <w:r w:rsidRPr="00D864E0">
              <w:rPr>
                <w:rFonts w:ascii="Arial-BoldMT" w:hAnsi="Arial-BoldMT"/>
                <w:b/>
                <w:bCs/>
                <w:color w:val="000000"/>
                <w:sz w:val="16"/>
                <w:szCs w:val="16"/>
              </w:rPr>
              <w:t>(</w:t>
            </w:r>
            <w:proofErr w:type="spellStart"/>
            <w:r>
              <w:rPr>
                <w:rFonts w:ascii="Arial-BoldMT" w:hAnsi="Arial-BoldMT"/>
                <w:b/>
                <w:bCs/>
                <w:color w:val="000000"/>
                <w:sz w:val="16"/>
                <w:szCs w:val="16"/>
              </w:rPr>
              <w:t>ms</w:t>
            </w:r>
            <w:proofErr w:type="spellEnd"/>
            <w:r w:rsidRPr="00D864E0">
              <w:rPr>
                <w:rFonts w:ascii="Arial-BoldMT" w:hAnsi="Arial-BoldMT"/>
                <w:b/>
                <w:bCs/>
                <w:color w:val="000000"/>
                <w:sz w:val="16"/>
                <w:szCs w:val="16"/>
              </w:rPr>
              <w:t>)</w:t>
            </w:r>
          </w:p>
        </w:tc>
        <w:tc>
          <w:tcPr>
            <w:tcW w:w="715" w:type="dxa"/>
            <w:shd w:val="clear" w:color="auto" w:fill="auto"/>
            <w:noWrap/>
            <w:vAlign w:val="center"/>
            <w:hideMark/>
          </w:tcPr>
          <w:p w14:paraId="5A9EF511"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160</w:t>
            </w:r>
          </w:p>
        </w:tc>
        <w:tc>
          <w:tcPr>
            <w:tcW w:w="687" w:type="dxa"/>
            <w:shd w:val="clear" w:color="auto" w:fill="auto"/>
            <w:noWrap/>
            <w:vAlign w:val="center"/>
            <w:hideMark/>
          </w:tcPr>
          <w:p w14:paraId="1F2C66DE"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240</w:t>
            </w:r>
          </w:p>
        </w:tc>
        <w:tc>
          <w:tcPr>
            <w:tcW w:w="688" w:type="dxa"/>
            <w:shd w:val="clear" w:color="auto" w:fill="auto"/>
            <w:noWrap/>
            <w:vAlign w:val="center"/>
            <w:hideMark/>
          </w:tcPr>
          <w:p w14:paraId="2B2E8F3C"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480</w:t>
            </w:r>
          </w:p>
        </w:tc>
        <w:tc>
          <w:tcPr>
            <w:tcW w:w="687" w:type="dxa"/>
            <w:shd w:val="clear" w:color="auto" w:fill="auto"/>
            <w:noWrap/>
            <w:vAlign w:val="center"/>
            <w:hideMark/>
          </w:tcPr>
          <w:p w14:paraId="3439BE46"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720</w:t>
            </w:r>
          </w:p>
        </w:tc>
        <w:tc>
          <w:tcPr>
            <w:tcW w:w="688" w:type="dxa"/>
            <w:shd w:val="clear" w:color="auto" w:fill="auto"/>
            <w:noWrap/>
            <w:vAlign w:val="center"/>
            <w:hideMark/>
          </w:tcPr>
          <w:p w14:paraId="4D09BDE5"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840</w:t>
            </w:r>
          </w:p>
        </w:tc>
        <w:tc>
          <w:tcPr>
            <w:tcW w:w="687" w:type="dxa"/>
            <w:shd w:val="clear" w:color="auto" w:fill="auto"/>
            <w:noWrap/>
            <w:vAlign w:val="center"/>
            <w:hideMark/>
          </w:tcPr>
          <w:p w14:paraId="09C6D755"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960</w:t>
            </w:r>
          </w:p>
        </w:tc>
        <w:tc>
          <w:tcPr>
            <w:tcW w:w="688" w:type="dxa"/>
            <w:shd w:val="clear" w:color="auto" w:fill="auto"/>
            <w:noWrap/>
            <w:vAlign w:val="center"/>
            <w:hideMark/>
          </w:tcPr>
          <w:p w14:paraId="2C3F82E4"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1536</w:t>
            </w:r>
          </w:p>
        </w:tc>
        <w:tc>
          <w:tcPr>
            <w:tcW w:w="687" w:type="dxa"/>
            <w:shd w:val="clear" w:color="auto" w:fill="auto"/>
            <w:noWrap/>
            <w:vAlign w:val="center"/>
            <w:hideMark/>
          </w:tcPr>
          <w:p w14:paraId="106B68AE"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3072</w:t>
            </w:r>
          </w:p>
        </w:tc>
        <w:tc>
          <w:tcPr>
            <w:tcW w:w="688" w:type="dxa"/>
            <w:shd w:val="clear" w:color="auto" w:fill="auto"/>
            <w:noWrap/>
            <w:vAlign w:val="center"/>
            <w:hideMark/>
          </w:tcPr>
          <w:p w14:paraId="039BA578"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3840</w:t>
            </w:r>
          </w:p>
        </w:tc>
        <w:tc>
          <w:tcPr>
            <w:tcW w:w="687" w:type="dxa"/>
            <w:shd w:val="clear" w:color="auto" w:fill="auto"/>
            <w:noWrap/>
            <w:vAlign w:val="center"/>
            <w:hideMark/>
          </w:tcPr>
          <w:p w14:paraId="0527A04C"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6144</w:t>
            </w:r>
          </w:p>
        </w:tc>
        <w:tc>
          <w:tcPr>
            <w:tcW w:w="688" w:type="dxa"/>
            <w:shd w:val="clear" w:color="auto" w:fill="auto"/>
            <w:noWrap/>
            <w:vAlign w:val="center"/>
            <w:hideMark/>
          </w:tcPr>
          <w:p w14:paraId="5C3D43D2" w14:textId="77777777"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7680</w:t>
            </w:r>
          </w:p>
        </w:tc>
      </w:tr>
      <w:tr w:rsidR="00D864E0" w:rsidRPr="0033726D" w14:paraId="43709B04" w14:textId="77777777" w:rsidTr="00D864E0">
        <w:trPr>
          <w:trHeight w:val="277"/>
        </w:trPr>
        <w:tc>
          <w:tcPr>
            <w:tcW w:w="2065" w:type="dxa"/>
            <w:shd w:val="clear" w:color="auto" w:fill="auto"/>
            <w:noWrap/>
            <w:vAlign w:val="center"/>
            <w:hideMark/>
          </w:tcPr>
          <w:p w14:paraId="1637C181" w14:textId="4E671D95" w:rsidR="00D864E0" w:rsidRPr="0033726D" w:rsidRDefault="00D864E0" w:rsidP="0033726D">
            <w:pPr>
              <w:overflowPunct/>
              <w:autoSpaceDE/>
              <w:autoSpaceDN/>
              <w:adjustRightInd/>
              <w:spacing w:after="0"/>
              <w:textAlignment w:val="auto"/>
              <w:rPr>
                <w:rFonts w:ascii="Arial-BoldMT" w:hAnsi="Arial-BoldMT"/>
                <w:b/>
                <w:bCs/>
                <w:color w:val="000000"/>
                <w:sz w:val="16"/>
                <w:szCs w:val="16"/>
                <w:lang w:val="ru-RU"/>
              </w:rPr>
            </w:pPr>
            <w:r>
              <w:rPr>
                <w:rFonts w:ascii="Arial-BoldMT" w:hAnsi="Arial-BoldMT" w:hint="eastAsia"/>
                <w:b/>
                <w:bCs/>
                <w:color w:val="000000"/>
                <w:sz w:val="16"/>
                <w:szCs w:val="16"/>
              </w:rPr>
              <w:t>D</w:t>
            </w:r>
            <w:r>
              <w:rPr>
                <w:rFonts w:ascii="Arial-BoldMT" w:hAnsi="Arial-BoldMT"/>
                <w:b/>
                <w:bCs/>
                <w:color w:val="000000"/>
                <w:sz w:val="16"/>
                <w:szCs w:val="16"/>
              </w:rPr>
              <w:t>istanc</w:t>
            </w:r>
            <w:r>
              <w:rPr>
                <w:rFonts w:ascii="Arial-BoldMT" w:hAnsi="Arial-BoldMT" w:hint="eastAsia"/>
                <w:b/>
                <w:bCs/>
                <w:color w:val="000000"/>
                <w:sz w:val="16"/>
                <w:szCs w:val="16"/>
              </w:rPr>
              <w:t>e</w:t>
            </w:r>
            <w:r>
              <w:rPr>
                <w:rFonts w:ascii="Arial-BoldMT" w:hAnsi="Arial-BoldMT"/>
                <w:b/>
                <w:bCs/>
                <w:color w:val="000000"/>
                <w:sz w:val="16"/>
                <w:szCs w:val="16"/>
              </w:rPr>
              <w:t xml:space="preserve"> </w:t>
            </w:r>
            <w:proofErr w:type="spellStart"/>
            <w:r>
              <w:rPr>
                <w:rFonts w:ascii="Arial-BoldMT" w:hAnsi="Arial-BoldMT"/>
                <w:b/>
                <w:bCs/>
                <w:color w:val="000000"/>
                <w:sz w:val="16"/>
                <w:szCs w:val="16"/>
              </w:rPr>
              <w:t>traveled</w:t>
            </w:r>
            <w:proofErr w:type="spellEnd"/>
            <w:r w:rsidRPr="00693491">
              <w:rPr>
                <w:rFonts w:ascii="Arial-BoldMT" w:hAnsi="Arial-BoldMT"/>
                <w:b/>
                <w:bCs/>
                <w:color w:val="000000"/>
                <w:sz w:val="16"/>
                <w:szCs w:val="16"/>
              </w:rPr>
              <w:t xml:space="preserve"> </w:t>
            </w:r>
            <w:r>
              <w:rPr>
                <w:rFonts w:ascii="Arial-BoldMT" w:hAnsi="Arial-BoldMT"/>
                <w:b/>
                <w:bCs/>
                <w:color w:val="000000"/>
                <w:sz w:val="16"/>
                <w:szCs w:val="16"/>
              </w:rPr>
              <w:t>(m)</w:t>
            </w:r>
          </w:p>
        </w:tc>
        <w:tc>
          <w:tcPr>
            <w:tcW w:w="715" w:type="dxa"/>
            <w:shd w:val="clear" w:color="auto" w:fill="auto"/>
            <w:noWrap/>
            <w:vAlign w:val="center"/>
            <w:hideMark/>
          </w:tcPr>
          <w:p w14:paraId="74072663" w14:textId="6A336466"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1</w:t>
            </w:r>
            <w:r w:rsidRPr="00D864E0">
              <w:rPr>
                <w:rFonts w:ascii="Calibri" w:eastAsia="Times New Roman" w:hAnsi="Calibri" w:cs="Calibri"/>
                <w:color w:val="000000"/>
                <w:sz w:val="18"/>
                <w:szCs w:val="18"/>
                <w:lang w:val="en-US"/>
              </w:rPr>
              <w:t>6</w:t>
            </w:r>
          </w:p>
        </w:tc>
        <w:tc>
          <w:tcPr>
            <w:tcW w:w="687" w:type="dxa"/>
            <w:shd w:val="clear" w:color="auto" w:fill="auto"/>
            <w:noWrap/>
            <w:vAlign w:val="center"/>
            <w:hideMark/>
          </w:tcPr>
          <w:p w14:paraId="51588A77" w14:textId="15A02751"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23</w:t>
            </w:r>
          </w:p>
        </w:tc>
        <w:tc>
          <w:tcPr>
            <w:tcW w:w="688" w:type="dxa"/>
            <w:shd w:val="clear" w:color="auto" w:fill="auto"/>
            <w:noWrap/>
            <w:vAlign w:val="center"/>
            <w:hideMark/>
          </w:tcPr>
          <w:p w14:paraId="385E5124" w14:textId="6AB5805F"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47</w:t>
            </w:r>
          </w:p>
        </w:tc>
        <w:tc>
          <w:tcPr>
            <w:tcW w:w="687" w:type="dxa"/>
            <w:shd w:val="clear" w:color="auto" w:fill="auto"/>
            <w:noWrap/>
            <w:vAlign w:val="center"/>
            <w:hideMark/>
          </w:tcPr>
          <w:p w14:paraId="155B92E5" w14:textId="5B4B4BA2"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70</w:t>
            </w:r>
          </w:p>
        </w:tc>
        <w:tc>
          <w:tcPr>
            <w:tcW w:w="688" w:type="dxa"/>
            <w:shd w:val="clear" w:color="auto" w:fill="auto"/>
            <w:noWrap/>
            <w:vAlign w:val="center"/>
            <w:hideMark/>
          </w:tcPr>
          <w:p w14:paraId="4431DFE7" w14:textId="39E61082"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8</w:t>
            </w:r>
            <w:r w:rsidRPr="00D864E0">
              <w:rPr>
                <w:rFonts w:ascii="Calibri" w:eastAsia="Times New Roman" w:hAnsi="Calibri" w:cs="Calibri"/>
                <w:color w:val="000000"/>
                <w:sz w:val="18"/>
                <w:szCs w:val="18"/>
                <w:lang w:val="en-US"/>
              </w:rPr>
              <w:t>2</w:t>
            </w:r>
          </w:p>
        </w:tc>
        <w:tc>
          <w:tcPr>
            <w:tcW w:w="687" w:type="dxa"/>
            <w:shd w:val="clear" w:color="auto" w:fill="auto"/>
            <w:noWrap/>
            <w:vAlign w:val="center"/>
            <w:hideMark/>
          </w:tcPr>
          <w:p w14:paraId="48678B8A" w14:textId="02D603BB"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93</w:t>
            </w:r>
          </w:p>
        </w:tc>
        <w:tc>
          <w:tcPr>
            <w:tcW w:w="688" w:type="dxa"/>
            <w:shd w:val="clear" w:color="auto" w:fill="auto"/>
            <w:noWrap/>
            <w:vAlign w:val="center"/>
            <w:hideMark/>
          </w:tcPr>
          <w:p w14:paraId="4761192E" w14:textId="7A2D2E5F"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149</w:t>
            </w:r>
          </w:p>
        </w:tc>
        <w:tc>
          <w:tcPr>
            <w:tcW w:w="687" w:type="dxa"/>
            <w:shd w:val="clear" w:color="auto" w:fill="auto"/>
            <w:noWrap/>
            <w:vAlign w:val="center"/>
            <w:hideMark/>
          </w:tcPr>
          <w:p w14:paraId="40C65ECF" w14:textId="5BEA7323"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29</w:t>
            </w:r>
            <w:r w:rsidRPr="00D864E0">
              <w:rPr>
                <w:rFonts w:ascii="Calibri" w:eastAsia="Times New Roman" w:hAnsi="Calibri" w:cs="Calibri"/>
                <w:color w:val="000000"/>
                <w:sz w:val="18"/>
                <w:szCs w:val="18"/>
                <w:lang w:val="en-US"/>
              </w:rPr>
              <w:t>9</w:t>
            </w:r>
          </w:p>
        </w:tc>
        <w:tc>
          <w:tcPr>
            <w:tcW w:w="688" w:type="dxa"/>
            <w:shd w:val="clear" w:color="auto" w:fill="auto"/>
            <w:noWrap/>
            <w:vAlign w:val="center"/>
            <w:hideMark/>
          </w:tcPr>
          <w:p w14:paraId="153007BD" w14:textId="32E0927D"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373</w:t>
            </w:r>
          </w:p>
        </w:tc>
        <w:tc>
          <w:tcPr>
            <w:tcW w:w="687" w:type="dxa"/>
            <w:shd w:val="clear" w:color="auto" w:fill="auto"/>
            <w:noWrap/>
            <w:vAlign w:val="center"/>
            <w:hideMark/>
          </w:tcPr>
          <w:p w14:paraId="6EA59DA5" w14:textId="4DB6BADE"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597</w:t>
            </w:r>
          </w:p>
        </w:tc>
        <w:tc>
          <w:tcPr>
            <w:tcW w:w="688" w:type="dxa"/>
            <w:shd w:val="clear" w:color="auto" w:fill="auto"/>
            <w:noWrap/>
            <w:vAlign w:val="center"/>
            <w:hideMark/>
          </w:tcPr>
          <w:p w14:paraId="629DC7CA" w14:textId="05077E1F" w:rsidR="00D864E0" w:rsidRPr="0033726D" w:rsidRDefault="00D864E0" w:rsidP="0033726D">
            <w:pPr>
              <w:overflowPunct/>
              <w:autoSpaceDE/>
              <w:autoSpaceDN/>
              <w:adjustRightInd/>
              <w:spacing w:after="0"/>
              <w:jc w:val="center"/>
              <w:textAlignment w:val="auto"/>
              <w:rPr>
                <w:rFonts w:ascii="Calibri" w:eastAsia="Times New Roman" w:hAnsi="Calibri" w:cs="Calibri"/>
                <w:color w:val="000000"/>
                <w:sz w:val="18"/>
                <w:szCs w:val="18"/>
                <w:lang w:val="en-US"/>
              </w:rPr>
            </w:pPr>
            <w:r w:rsidRPr="0033726D">
              <w:rPr>
                <w:rFonts w:ascii="Calibri" w:eastAsia="Times New Roman" w:hAnsi="Calibri" w:cs="Calibri"/>
                <w:color w:val="000000"/>
                <w:sz w:val="18"/>
                <w:szCs w:val="18"/>
                <w:lang w:val="en-US"/>
              </w:rPr>
              <w:t>747</w:t>
            </w:r>
          </w:p>
        </w:tc>
      </w:tr>
    </w:tbl>
    <w:p w14:paraId="04C58401" w14:textId="77777777" w:rsidR="00862292" w:rsidRDefault="00862292" w:rsidP="003E47F5">
      <w:pPr>
        <w:rPr>
          <w:bCs/>
          <w:iCs/>
          <w:lang w:val="en-US"/>
        </w:rPr>
      </w:pPr>
    </w:p>
    <w:p w14:paraId="01E142A2" w14:textId="747ECBB5" w:rsidR="00A963E3" w:rsidRPr="003E47F5" w:rsidRDefault="00D864E0" w:rsidP="003E47F5">
      <w:pPr>
        <w:rPr>
          <w:b/>
          <w:iCs/>
        </w:rPr>
      </w:pPr>
      <w:r w:rsidRPr="00D864E0">
        <w:rPr>
          <w:bCs/>
          <w:iCs/>
          <w:lang w:val="en-US"/>
        </w:rPr>
        <w:t xml:space="preserve">In Figure 1 we present the link budget analysis for the UE moving along the railway </w:t>
      </w:r>
      <w:r>
        <w:rPr>
          <w:bCs/>
          <w:iCs/>
          <w:lang w:val="en-US"/>
        </w:rPr>
        <w:t xml:space="preserve">with </w:t>
      </w:r>
      <w:r w:rsidR="003E47F5">
        <w:rPr>
          <w:bCs/>
          <w:iCs/>
          <w:lang w:val="en-US"/>
        </w:rPr>
        <w:t xml:space="preserve">velocity 350km/h </w:t>
      </w:r>
      <w:r w:rsidR="002F505C">
        <w:rPr>
          <w:bCs/>
          <w:iCs/>
          <w:lang w:val="en-US"/>
        </w:rPr>
        <w:t xml:space="preserve">(UE is moving </w:t>
      </w:r>
      <w:r w:rsidR="003E47F5">
        <w:rPr>
          <w:bCs/>
          <w:iCs/>
          <w:lang w:val="en-US"/>
        </w:rPr>
        <w:t xml:space="preserve">from </w:t>
      </w:r>
      <w:r w:rsidR="003E47F5">
        <w:rPr>
          <w:bCs/>
          <w:iCs/>
          <w:lang w:val="en-US"/>
        </w:rPr>
        <w:t>left to right</w:t>
      </w:r>
      <w:r w:rsidR="002F505C">
        <w:rPr>
          <w:bCs/>
          <w:iCs/>
          <w:lang w:val="en-US"/>
        </w:rPr>
        <w:t>)</w:t>
      </w:r>
      <w:r w:rsidR="003E47F5">
        <w:rPr>
          <w:bCs/>
          <w:iCs/>
          <w:lang w:val="en-US"/>
        </w:rPr>
        <w:t xml:space="preserve">. The blue curve demonstrates the best SNR over all TX beams at each point of the track. This can be interpreted as Ideal TX beam switching with no delay. For the red curve beam switch delay due to L1-RSRP measurement is taken into account. For </w:t>
      </w:r>
      <w:r w:rsidR="003E47F5">
        <w:rPr>
          <w:bCs/>
          <w:iCs/>
          <w:lang w:val="en-US"/>
        </w:rPr>
        <w:t xml:space="preserve">L1-RSRP measurement </w:t>
      </w:r>
      <w:r w:rsidR="003E47F5">
        <w:rPr>
          <w:bCs/>
          <w:iCs/>
          <w:lang w:val="en-US"/>
        </w:rPr>
        <w:t>period T</w:t>
      </w:r>
      <w:r w:rsidR="003E47F5" w:rsidRPr="003E47F5">
        <w:rPr>
          <w:bCs/>
          <w:iCs/>
          <w:vertAlign w:val="subscript"/>
          <w:lang w:val="en-US"/>
        </w:rPr>
        <w:t>DRX</w:t>
      </w:r>
      <w:r w:rsidR="003E47F5">
        <w:rPr>
          <w:bCs/>
          <w:iCs/>
          <w:vertAlign w:val="subscript"/>
          <w:lang w:val="en-US"/>
        </w:rPr>
        <w:t xml:space="preserve"> </w:t>
      </w:r>
      <w:r w:rsidR="003E47F5">
        <w:rPr>
          <w:bCs/>
          <w:iCs/>
          <w:lang w:val="en-US"/>
        </w:rPr>
        <w:t xml:space="preserve">=80ms was used.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B85D99" w14:paraId="22AC0904" w14:textId="77777777" w:rsidTr="003E47F5">
        <w:tc>
          <w:tcPr>
            <w:tcW w:w="9629" w:type="dxa"/>
          </w:tcPr>
          <w:p w14:paraId="44D984A1" w14:textId="30AB77C7" w:rsidR="00B85D99" w:rsidRDefault="00395084" w:rsidP="009F30F3">
            <w:pPr>
              <w:rPr>
                <w:b/>
                <w:iCs/>
              </w:rPr>
            </w:pPr>
            <w:r>
              <w:rPr>
                <w:b/>
                <w:iCs/>
                <w:noProof/>
              </w:rPr>
              <w:lastRenderedPageBreak/>
              <mc:AlternateContent>
                <mc:Choice Requires="wps">
                  <w:drawing>
                    <wp:anchor distT="0" distB="0" distL="114300" distR="114300" simplePos="0" relativeHeight="251663360" behindDoc="0" locked="0" layoutInCell="1" allowOverlap="1" wp14:anchorId="7B278FB3" wp14:editId="2BB7FE98">
                      <wp:simplePos x="0" y="0"/>
                      <wp:positionH relativeFrom="column">
                        <wp:posOffset>3434715</wp:posOffset>
                      </wp:positionH>
                      <wp:positionV relativeFrom="paragraph">
                        <wp:posOffset>2782570</wp:posOffset>
                      </wp:positionV>
                      <wp:extent cx="57150" cy="355600"/>
                      <wp:effectExtent l="57150" t="0" r="38100" b="63500"/>
                      <wp:wrapNone/>
                      <wp:docPr id="15" name="Straight Arrow Connector 15"/>
                      <wp:cNvGraphicFramePr/>
                      <a:graphic xmlns:a="http://schemas.openxmlformats.org/drawingml/2006/main">
                        <a:graphicData uri="http://schemas.microsoft.com/office/word/2010/wordprocessingShape">
                          <wps:wsp>
                            <wps:cNvCnPr/>
                            <wps:spPr>
                              <a:xfrm flipH="1">
                                <a:off x="0" y="0"/>
                                <a:ext cx="57150" cy="355600"/>
                              </a:xfrm>
                              <a:prstGeom prst="straightConnector1">
                                <a:avLst/>
                              </a:prstGeom>
                              <a:ln>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BBC06E4" id="_x0000_t32" coordsize="21600,21600" o:spt="32" o:oned="t" path="m,l21600,21600e" filled="f">
                      <v:path arrowok="t" fillok="f" o:connecttype="none"/>
                      <o:lock v:ext="edit" shapetype="t"/>
                    </v:shapetype>
                    <v:shape id="Straight Arrow Connector 15" o:spid="_x0000_s1026" type="#_x0000_t32" style="position:absolute;margin-left:270.45pt;margin-top:219.1pt;width:4.5pt;height:28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" strokecolor="#ffc000" strokeweight=".5pt">
                      <v:stroke endarrow="block" joinstyle="miter"/>
                    </v:shape>
                  </w:pict>
                </mc:Fallback>
              </mc:AlternateContent>
            </w:r>
            <w:r>
              <w:rPr>
                <w:b/>
                <w:iCs/>
                <w:noProof/>
              </w:rPr>
              <mc:AlternateContent>
                <mc:Choice Requires="wps">
                  <w:drawing>
                    <wp:anchor distT="0" distB="0" distL="114300" distR="114300" simplePos="0" relativeHeight="251659264" behindDoc="0" locked="0" layoutInCell="1" allowOverlap="1" wp14:anchorId="6AB8C81D" wp14:editId="5E2E1532">
                      <wp:simplePos x="0" y="0"/>
                      <wp:positionH relativeFrom="column">
                        <wp:posOffset>3244215</wp:posOffset>
                      </wp:positionH>
                      <wp:positionV relativeFrom="paragraph">
                        <wp:posOffset>160020</wp:posOffset>
                      </wp:positionV>
                      <wp:extent cx="768350" cy="2622550"/>
                      <wp:effectExtent l="0" t="0" r="12700" b="25400"/>
                      <wp:wrapNone/>
                      <wp:docPr id="5" name="Rectangle 5"/>
                      <wp:cNvGraphicFramePr/>
                      <a:graphic xmlns:a="http://schemas.openxmlformats.org/drawingml/2006/main">
                        <a:graphicData uri="http://schemas.microsoft.com/office/word/2010/wordprocessingShape">
                          <wps:wsp>
                            <wps:cNvSpPr/>
                            <wps:spPr>
                              <a:xfrm>
                                <a:off x="0" y="0"/>
                                <a:ext cx="768350" cy="2622550"/>
                              </a:xfrm>
                              <a:prstGeom prst="rect">
                                <a:avLst/>
                              </a:prstGeom>
                              <a:noFill/>
                              <a:ln w="1905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17216" id="Rectangle 5" o:spid="_x0000_s1026" style="position:absolute;margin-left:255.45pt;margin-top:12.6pt;width:60.5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" filled="f" strokecolor="#ffc000" strokeweight="1.5pt"/>
                  </w:pict>
                </mc:Fallback>
              </mc:AlternateContent>
            </w:r>
            <w:r w:rsidR="00B85D99" w:rsidRPr="00B85D99">
              <w:rPr>
                <w:b/>
                <w:iCs/>
                <w:noProof/>
              </w:rPr>
              <w:drawing>
                <wp:inline distT="0" distB="0" distL="0" distR="0" wp14:anchorId="346BB995" wp14:editId="1AF88B43">
                  <wp:extent cx="5777523" cy="30086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9">
                            <a:extLst>
                              <a:ext uri="{28A0092B-C50C-407E-A947-70E740481C1C}">
                                <a14:useLocalDpi xmlns:a14="http://schemas.microsoft.com/office/drawing/2010/main" val="0"/>
                              </a:ext>
                            </a:extLst>
                          </a:blip>
                          <a:srcRect l="6202" r="6523"/>
                          <a:stretch/>
                        </pic:blipFill>
                        <pic:spPr bwMode="auto">
                          <a:xfrm>
                            <a:off x="0" y="0"/>
                            <a:ext cx="5790446" cy="3015359"/>
                          </a:xfrm>
                          <a:prstGeom prst="rect">
                            <a:avLst/>
                          </a:prstGeom>
                          <a:noFill/>
                          <a:ln>
                            <a:noFill/>
                          </a:ln>
                          <a:extLst>
                            <a:ext uri="{53640926-AAD7-44D8-BBD7-CCE9431645EC}">
                              <a14:shadowObscured xmlns:a14="http://schemas.microsoft.com/office/drawing/2010/main"/>
                            </a:ext>
                          </a:extLst>
                        </pic:spPr>
                      </pic:pic>
                    </a:graphicData>
                  </a:graphic>
                </wp:inline>
              </w:drawing>
            </w:r>
          </w:p>
          <w:p w14:paraId="6BEF9B18" w14:textId="02691D9B" w:rsidR="008367D1" w:rsidRDefault="008367D1" w:rsidP="00D01380">
            <w:pPr>
              <w:jc w:val="center"/>
            </w:pPr>
            <w:r>
              <w:rPr>
                <w:b/>
                <w:iCs/>
                <w:noProof/>
              </w:rPr>
              <mc:AlternateContent>
                <mc:Choice Requires="wps">
                  <w:drawing>
                    <wp:anchor distT="0" distB="0" distL="114300" distR="114300" simplePos="0" relativeHeight="251662336" behindDoc="0" locked="0" layoutInCell="1" allowOverlap="1" wp14:anchorId="1103117B" wp14:editId="6D55E125">
                      <wp:simplePos x="0" y="0"/>
                      <wp:positionH relativeFrom="column">
                        <wp:posOffset>388581</wp:posOffset>
                      </wp:positionH>
                      <wp:positionV relativeFrom="paragraph">
                        <wp:posOffset>16178</wp:posOffset>
                      </wp:positionV>
                      <wp:extent cx="5113020" cy="2452845"/>
                      <wp:effectExtent l="0" t="0" r="11430" b="24130"/>
                      <wp:wrapNone/>
                      <wp:docPr id="7" name="Rectangle 7"/>
                      <wp:cNvGraphicFramePr/>
                      <a:graphic xmlns:a="http://schemas.openxmlformats.org/drawingml/2006/main">
                        <a:graphicData uri="http://schemas.microsoft.com/office/word/2010/wordprocessingShape">
                          <wps:wsp>
                            <wps:cNvSpPr/>
                            <wps:spPr>
                              <a:xfrm>
                                <a:off x="0" y="0"/>
                                <a:ext cx="5113020" cy="2452845"/>
                              </a:xfrm>
                              <a:prstGeom prst="rect">
                                <a:avLst/>
                              </a:prstGeom>
                              <a:noFill/>
                              <a:ln w="1905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E9A5E" id="Rectangle 7" o:spid="_x0000_s1026" style="position:absolute;margin-left:30.6pt;margin-top:1.25pt;width:402.6pt;height:19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" filled="f" strokecolor="#ffc000" strokeweight="1.5pt"/>
                  </w:pict>
                </mc:Fallback>
              </mc:AlternateContent>
            </w:r>
            <w:r w:rsidR="00D01380">
              <w:object w:dxaOrig="13185" w:dyaOrig="6346" w14:anchorId="10616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97.05pt;height:191.1pt" o:ole="">
                  <v:imagedata r:id="rId10" o:title=""/>
                </v:shape>
                <o:OLEObject Type="Embed" ProgID="Visio.Drawing.15" ShapeID="_x0000_i1067" DrawAspect="Content" ObjectID="_1678917524" r:id="rId11"/>
              </w:object>
            </w:r>
          </w:p>
          <w:p w14:paraId="0F49F0EA" w14:textId="2DF0D1C9" w:rsidR="008367D1" w:rsidRDefault="00395084" w:rsidP="00395084">
            <w:pPr>
              <w:jc w:val="center"/>
              <w:rPr>
                <w:b/>
                <w:iCs/>
              </w:rPr>
            </w:pPr>
            <w:r>
              <w:rPr>
                <w:b/>
                <w:iCs/>
              </w:rPr>
              <w:t>Figure 1. Beam management with T</w:t>
            </w:r>
            <w:r w:rsidRPr="00395084">
              <w:rPr>
                <w:b/>
                <w:iCs/>
                <w:vertAlign w:val="subscript"/>
              </w:rPr>
              <w:t>DRX</w:t>
            </w:r>
            <w:r>
              <w:rPr>
                <w:b/>
                <w:iCs/>
              </w:rPr>
              <w:t xml:space="preserve"> = 80ms</w:t>
            </w:r>
          </w:p>
        </w:tc>
      </w:tr>
    </w:tbl>
    <w:p w14:paraId="7A7D1D68" w14:textId="6FFCC26D" w:rsidR="00C00470" w:rsidRDefault="00C00470" w:rsidP="009F30F3">
      <w:pPr>
        <w:ind w:left="284"/>
        <w:rPr>
          <w:b/>
          <w:iCs/>
        </w:rPr>
      </w:pPr>
    </w:p>
    <w:p w14:paraId="301FD957" w14:textId="42D86340" w:rsidR="006B64E2" w:rsidRPr="00D01380" w:rsidRDefault="00B31E88" w:rsidP="00D01380">
      <w:pPr>
        <w:rPr>
          <w:bCs/>
          <w:iCs/>
        </w:rPr>
      </w:pPr>
      <w:r>
        <w:rPr>
          <w:bCs/>
          <w:iCs/>
          <w:lang w:val="en-US"/>
        </w:rPr>
        <w:t xml:space="preserve">As we can see, in some areas red curve </w:t>
      </w:r>
      <w:r w:rsidR="00862292">
        <w:rPr>
          <w:bCs/>
          <w:iCs/>
          <w:lang w:val="en-US"/>
        </w:rPr>
        <w:t xml:space="preserve">demonstrate </w:t>
      </w:r>
      <w:r>
        <w:rPr>
          <w:bCs/>
          <w:iCs/>
          <w:lang w:val="en-US"/>
        </w:rPr>
        <w:t xml:space="preserve">much worse </w:t>
      </w:r>
      <w:r w:rsidR="00862292">
        <w:rPr>
          <w:bCs/>
          <w:iCs/>
          <w:lang w:val="en-US"/>
        </w:rPr>
        <w:t xml:space="preserve">link budget </w:t>
      </w:r>
      <w:r>
        <w:rPr>
          <w:bCs/>
          <w:iCs/>
          <w:lang w:val="en-US"/>
        </w:rPr>
        <w:t>than blue one</w:t>
      </w:r>
      <w:r>
        <w:rPr>
          <w:bCs/>
          <w:iCs/>
          <w:lang w:val="en-US"/>
        </w:rPr>
        <w:t>.</w:t>
      </w:r>
      <w:r w:rsidRPr="00D01380">
        <w:rPr>
          <w:bCs/>
          <w:iCs/>
        </w:rPr>
        <w:t xml:space="preserve"> </w:t>
      </w:r>
      <w:r w:rsidR="008367D1" w:rsidRPr="00D01380">
        <w:rPr>
          <w:bCs/>
          <w:iCs/>
        </w:rPr>
        <w:t xml:space="preserve">Let us </w:t>
      </w:r>
      <w:r w:rsidR="005D34FC" w:rsidRPr="00D01380">
        <w:rPr>
          <w:bCs/>
          <w:iCs/>
          <w:lang w:val="en-US"/>
        </w:rPr>
        <w:t xml:space="preserve">take a close </w:t>
      </w:r>
      <w:r w:rsidR="008367D1" w:rsidRPr="00D01380">
        <w:rPr>
          <w:bCs/>
          <w:iCs/>
        </w:rPr>
        <w:t>look at the boxed area.</w:t>
      </w:r>
      <w:r w:rsidR="00922240" w:rsidRPr="00D01380">
        <w:rPr>
          <w:bCs/>
          <w:iCs/>
        </w:rPr>
        <w:t xml:space="preserve"> As we can see</w:t>
      </w:r>
      <w:r w:rsidR="00D01380">
        <w:rPr>
          <w:bCs/>
          <w:iCs/>
        </w:rPr>
        <w:t>,</w:t>
      </w:r>
      <w:r w:rsidR="008367D1" w:rsidRPr="00D01380">
        <w:rPr>
          <w:bCs/>
          <w:iCs/>
        </w:rPr>
        <w:t xml:space="preserve"> </w:t>
      </w:r>
      <w:r w:rsidR="00922240" w:rsidRPr="00D01380">
        <w:rPr>
          <w:bCs/>
          <w:iCs/>
        </w:rPr>
        <w:t>a</w:t>
      </w:r>
      <w:r w:rsidR="005D34FC" w:rsidRPr="00D01380">
        <w:rPr>
          <w:bCs/>
          <w:iCs/>
        </w:rPr>
        <w:t xml:space="preserve">fter UE passes RRH (at x=2100m) it is served by RRH beam#4. </w:t>
      </w:r>
      <w:r w:rsidR="00D01380">
        <w:rPr>
          <w:bCs/>
          <w:iCs/>
        </w:rPr>
        <w:t>For the next 90m s</w:t>
      </w:r>
      <w:r w:rsidR="005D34FC" w:rsidRPr="00D01380">
        <w:rPr>
          <w:bCs/>
          <w:iCs/>
        </w:rPr>
        <w:t>witching RX beams UE performs consecutive measurements as shown by arrows</w:t>
      </w:r>
      <w:r w:rsidR="00922240" w:rsidRPr="00D01380">
        <w:rPr>
          <w:bCs/>
          <w:iCs/>
        </w:rPr>
        <w:t xml:space="preserve">. After </w:t>
      </w:r>
      <w:r w:rsidR="00922240" w:rsidRPr="00D01380">
        <w:rPr>
          <w:bCs/>
          <w:iCs/>
        </w:rPr>
        <w:t>960</w:t>
      </w:r>
      <w:r w:rsidR="00922240" w:rsidRPr="00D01380">
        <w:rPr>
          <w:bCs/>
          <w:iCs/>
        </w:rPr>
        <w:t>ms (L1-RSRP measurement period for T</w:t>
      </w:r>
      <w:r w:rsidR="00922240" w:rsidRPr="00D01380">
        <w:rPr>
          <w:bCs/>
          <w:iCs/>
          <w:vertAlign w:val="subscript"/>
        </w:rPr>
        <w:t>DRX</w:t>
      </w:r>
      <w:r w:rsidR="00922240" w:rsidRPr="00D01380">
        <w:rPr>
          <w:bCs/>
          <w:iCs/>
        </w:rPr>
        <w:t>=80ms) UE switches to beam#3 which was detected as the best beam during measurement period based on measurement M2. But as it can be seen from the figure</w:t>
      </w:r>
      <w:r w:rsidR="00D01380">
        <w:rPr>
          <w:bCs/>
          <w:iCs/>
        </w:rPr>
        <w:t>,</w:t>
      </w:r>
      <w:r w:rsidR="00922240" w:rsidRPr="00D01380">
        <w:rPr>
          <w:bCs/>
          <w:iCs/>
        </w:rPr>
        <w:t xml:space="preserve"> the M2 measurement result is not relevant by the end of </w:t>
      </w:r>
      <w:r w:rsidR="00D01380">
        <w:rPr>
          <w:bCs/>
          <w:iCs/>
        </w:rPr>
        <w:t>measurement period.</w:t>
      </w:r>
    </w:p>
    <w:p w14:paraId="7F03385C" w14:textId="0A5CB339" w:rsidR="006B64E2" w:rsidRPr="00F85483" w:rsidRDefault="00A14C64" w:rsidP="009F30F3">
      <w:pPr>
        <w:ind w:left="284"/>
        <w:rPr>
          <w:bCs/>
          <w:iCs/>
          <w:lang w:val="en-US"/>
        </w:rPr>
      </w:pPr>
      <w:r w:rsidRPr="00F85483">
        <w:rPr>
          <w:bCs/>
          <w:iCs/>
          <w:lang w:val="en-US"/>
        </w:rPr>
        <w:t>We see several ways to avoid this issue:</w:t>
      </w:r>
    </w:p>
    <w:p w14:paraId="5E4C136A" w14:textId="56EB41E1" w:rsidR="006B64E2" w:rsidRPr="00F85483" w:rsidRDefault="006B64E2" w:rsidP="006B64E2">
      <w:pPr>
        <w:pStyle w:val="ListParagraph"/>
        <w:numPr>
          <w:ilvl w:val="0"/>
          <w:numId w:val="18"/>
        </w:numPr>
        <w:rPr>
          <w:bCs/>
          <w:iCs/>
          <w:lang w:val="en-US"/>
        </w:rPr>
      </w:pPr>
      <w:r w:rsidRPr="00F85483">
        <w:rPr>
          <w:bCs/>
          <w:iCs/>
          <w:lang w:val="en-US"/>
        </w:rPr>
        <w:t xml:space="preserve">Reduction of the number of UE RX beams. </w:t>
      </w:r>
      <w:r w:rsidR="00A14C64" w:rsidRPr="00F85483">
        <w:rPr>
          <w:bCs/>
          <w:iCs/>
          <w:lang w:val="en-US"/>
        </w:rPr>
        <w:t xml:space="preserve">This </w:t>
      </w:r>
      <w:r w:rsidR="00F85483" w:rsidRPr="00F85483">
        <w:rPr>
          <w:bCs/>
          <w:iCs/>
          <w:lang w:val="en-US"/>
        </w:rPr>
        <w:t>allows to reduce the measurement period by reducing RX beam sweeping scaling factor N.</w:t>
      </w:r>
    </w:p>
    <w:p w14:paraId="4827CDBA" w14:textId="3E870EB5" w:rsidR="006B64E2" w:rsidRPr="00F85483" w:rsidRDefault="006B64E2" w:rsidP="006B64E2">
      <w:pPr>
        <w:pStyle w:val="ListParagraph"/>
        <w:numPr>
          <w:ilvl w:val="0"/>
          <w:numId w:val="18"/>
        </w:numPr>
        <w:rPr>
          <w:bCs/>
          <w:iCs/>
          <w:lang w:val="en-US"/>
        </w:rPr>
      </w:pPr>
      <w:r w:rsidRPr="00F85483">
        <w:rPr>
          <w:bCs/>
          <w:iCs/>
          <w:lang w:val="en-US"/>
        </w:rPr>
        <w:t xml:space="preserve">Reduction of the number of TX beams. This will lead to beam dwelling time increase, and to less probability of irrelevant beam selection. </w:t>
      </w:r>
    </w:p>
    <w:p w14:paraId="5D791FC2" w14:textId="57A573A5" w:rsidR="006B64E2" w:rsidRPr="00F85483" w:rsidRDefault="00A14C64" w:rsidP="006B64E2">
      <w:pPr>
        <w:pStyle w:val="ListParagraph"/>
        <w:numPr>
          <w:ilvl w:val="0"/>
          <w:numId w:val="18"/>
        </w:numPr>
        <w:rPr>
          <w:bCs/>
          <w:iCs/>
          <w:lang w:val="en-US"/>
        </w:rPr>
      </w:pPr>
      <w:r w:rsidRPr="00F85483">
        <w:rPr>
          <w:bCs/>
          <w:iCs/>
          <w:lang w:val="en-US"/>
        </w:rPr>
        <w:t>Avoiding DRX mode in FR2 HST</w:t>
      </w:r>
      <w:r w:rsidR="00F85483">
        <w:rPr>
          <w:bCs/>
          <w:iCs/>
          <w:lang w:val="en-US"/>
        </w:rPr>
        <w:t>.</w:t>
      </w:r>
    </w:p>
    <w:p w14:paraId="0E93EDDB" w14:textId="77777777" w:rsidR="00A14C64" w:rsidRDefault="00A14C64" w:rsidP="00A14C64">
      <w:pPr>
        <w:pStyle w:val="ListParagraph"/>
        <w:rPr>
          <w:b/>
          <w:iCs/>
          <w:lang w:val="en-US"/>
        </w:rPr>
      </w:pPr>
    </w:p>
    <w:p w14:paraId="47EBFEF6" w14:textId="77777777" w:rsidR="00B31E88" w:rsidRDefault="00B31E88" w:rsidP="00B31E88">
      <w:pPr>
        <w:pStyle w:val="ListParagraph"/>
        <w:rPr>
          <w:b/>
          <w:iCs/>
          <w:lang w:val="en-US"/>
        </w:rPr>
      </w:pPr>
    </w:p>
    <w:p w14:paraId="38CC647E" w14:textId="43A102D3" w:rsidR="00A14C64" w:rsidRDefault="00A14C64" w:rsidP="00A14C64">
      <w:pPr>
        <w:pStyle w:val="ListParagraph"/>
        <w:numPr>
          <w:ilvl w:val="0"/>
          <w:numId w:val="19"/>
        </w:numPr>
        <w:rPr>
          <w:b/>
          <w:iCs/>
          <w:lang w:val="en-US"/>
        </w:rPr>
      </w:pPr>
      <w:r>
        <w:rPr>
          <w:b/>
          <w:iCs/>
          <w:lang w:val="en-US"/>
        </w:rPr>
        <w:t>N</w:t>
      </w:r>
      <w:r w:rsidRPr="00A14C64">
        <w:rPr>
          <w:b/>
          <w:iCs/>
          <w:lang w:val="en-US"/>
        </w:rPr>
        <w:t>umber of UE RX beams</w:t>
      </w:r>
    </w:p>
    <w:p w14:paraId="12F6423B" w14:textId="0C57824A" w:rsidR="00B31E88" w:rsidRDefault="00B31E88" w:rsidP="00B31E88">
      <w:pPr>
        <w:pStyle w:val="ListParagraph"/>
        <w:rPr>
          <w:b/>
          <w:iCs/>
          <w:lang w:val="en-US"/>
        </w:rPr>
      </w:pPr>
    </w:p>
    <w:p w14:paraId="38A5A6A4" w14:textId="77777777" w:rsidR="00422344" w:rsidRDefault="00B31E88" w:rsidP="00B31E88">
      <w:pPr>
        <w:pStyle w:val="ListParagraph"/>
        <w:rPr>
          <w:bCs/>
          <w:iCs/>
          <w:lang w:val="en-US"/>
        </w:rPr>
      </w:pPr>
      <w:r w:rsidRPr="00B31E88">
        <w:rPr>
          <w:bCs/>
          <w:iCs/>
          <w:lang w:val="en-US"/>
        </w:rPr>
        <w:t>In Figure 2 we demonstrate the comparison of link budget for different number of RX beams</w:t>
      </w:r>
      <w:r>
        <w:rPr>
          <w:bCs/>
          <w:iCs/>
          <w:lang w:val="en-US"/>
        </w:rPr>
        <w:t xml:space="preserve">. </w:t>
      </w:r>
    </w:p>
    <w:p w14:paraId="142E14D9" w14:textId="45F6BC17" w:rsidR="00B31E88" w:rsidRDefault="00B31E88" w:rsidP="00B31E88">
      <w:pPr>
        <w:pStyle w:val="ListParagraph"/>
        <w:rPr>
          <w:bCs/>
          <w:iCs/>
          <w:lang w:val="en-US"/>
        </w:rPr>
      </w:pPr>
      <w:r>
        <w:rPr>
          <w:bCs/>
          <w:iCs/>
          <w:lang w:val="en-US"/>
        </w:rPr>
        <w:lastRenderedPageBreak/>
        <w:t xml:space="preserve">For Scenario A we can see that a single fixed RX beam per panel is enough for sufficient link budget. This can allow us to reduce scaling factor N to 2 (one fixed beam at each </w:t>
      </w:r>
      <w:r w:rsidR="00422344">
        <w:rPr>
          <w:bCs/>
          <w:iCs/>
          <w:lang w:val="en-US"/>
        </w:rPr>
        <w:t xml:space="preserve">of two </w:t>
      </w:r>
      <w:r>
        <w:rPr>
          <w:bCs/>
          <w:iCs/>
          <w:lang w:val="en-US"/>
        </w:rPr>
        <w:t>panel</w:t>
      </w:r>
      <w:r w:rsidR="00422344">
        <w:rPr>
          <w:bCs/>
          <w:iCs/>
          <w:lang w:val="en-US"/>
        </w:rPr>
        <w:t>s</w:t>
      </w:r>
      <w:r>
        <w:rPr>
          <w:bCs/>
          <w:iCs/>
          <w:lang w:val="en-US"/>
        </w:rPr>
        <w:t>)</w:t>
      </w:r>
      <w:r w:rsidR="00422344">
        <w:rPr>
          <w:bCs/>
          <w:iCs/>
          <w:lang w:val="en-US"/>
        </w:rPr>
        <w:t>.</w:t>
      </w:r>
    </w:p>
    <w:p w14:paraId="259AA862" w14:textId="4B0D8727" w:rsidR="00422344" w:rsidRPr="00B31E88" w:rsidRDefault="00422344" w:rsidP="00B31E88">
      <w:pPr>
        <w:pStyle w:val="ListParagraph"/>
        <w:rPr>
          <w:bCs/>
          <w:iCs/>
          <w:lang w:val="en-US"/>
        </w:rPr>
      </w:pPr>
      <w:r>
        <w:rPr>
          <w:bCs/>
          <w:iCs/>
          <w:lang w:val="en-US"/>
        </w:rPr>
        <w:t xml:space="preserve">For Scenario B it is difficult to find the RX beam which will be optimal at the part of the track. More than 1 beam per panel is required. However, 8 beams might still be </w:t>
      </w:r>
      <w:r w:rsidRPr="00422344">
        <w:rPr>
          <w:bCs/>
          <w:iCs/>
          <w:lang w:val="en-US"/>
        </w:rPr>
        <w:t>excessive</w:t>
      </w:r>
      <w:r>
        <w:rPr>
          <w:bCs/>
          <w:iCs/>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14C64" w14:paraId="6585E109" w14:textId="77777777" w:rsidTr="00422344">
        <w:tc>
          <w:tcPr>
            <w:tcW w:w="4814" w:type="dxa"/>
          </w:tcPr>
          <w:p w14:paraId="0EF3382C" w14:textId="77777777" w:rsidR="00A14C64" w:rsidRDefault="00A14C64" w:rsidP="0052141B">
            <w:pPr>
              <w:jc w:val="center"/>
              <w:rPr>
                <w:b/>
                <w:iCs/>
              </w:rPr>
            </w:pPr>
            <w:r w:rsidRPr="001C069D">
              <w:rPr>
                <w:kern w:val="24"/>
                <w:sz w:val="22"/>
                <w:szCs w:val="22"/>
              </w:rPr>
              <w:t>Scenario A</w:t>
            </w:r>
            <w:r w:rsidRPr="008E684D">
              <w:rPr>
                <w:noProof/>
              </w:rPr>
              <w:t xml:space="preserve"> </w:t>
            </w:r>
            <w:r w:rsidRPr="0037789E">
              <w:rPr>
                <w:b/>
                <w:iCs/>
                <w:noProof/>
              </w:rPr>
              <w:drawing>
                <wp:inline distT="0" distB="0" distL="0" distR="0" wp14:anchorId="5C16FB7F" wp14:editId="78BB202F">
                  <wp:extent cx="2880000" cy="1800000"/>
                  <wp:effectExtent l="0" t="0" r="0" b="0"/>
                  <wp:docPr id="13" name="Picture 7">
                    <a:extLst xmlns:a="http://schemas.openxmlformats.org/drawingml/2006/main">
                      <a:ext uri="{FF2B5EF4-FFF2-40B4-BE49-F238E27FC236}">
                        <a16:creationId xmlns:a16="http://schemas.microsoft.com/office/drawing/2014/main" id="{8FC159BF-E910-4498-A34D-8C3819B6B6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FC159BF-E910-4498-A34D-8C3819B6B62C}"/>
                              </a:ext>
                            </a:extLst>
                          </pic:cNvPr>
                          <pic:cNvPicPr>
                            <a:picLocks noChangeAspect="1"/>
                          </pic:cNvPicPr>
                        </pic:nvPicPr>
                        <pic:blipFill>
                          <a:blip r:embed="rId12"/>
                          <a:stretch>
                            <a:fillRect/>
                          </a:stretch>
                        </pic:blipFill>
                        <pic:spPr>
                          <a:xfrm>
                            <a:off x="0" y="0"/>
                            <a:ext cx="2880000" cy="1800000"/>
                          </a:xfrm>
                          <a:prstGeom prst="rect">
                            <a:avLst/>
                          </a:prstGeom>
                        </pic:spPr>
                      </pic:pic>
                    </a:graphicData>
                  </a:graphic>
                </wp:inline>
              </w:drawing>
            </w:r>
          </w:p>
        </w:tc>
        <w:tc>
          <w:tcPr>
            <w:tcW w:w="4815" w:type="dxa"/>
          </w:tcPr>
          <w:p w14:paraId="23BEB080" w14:textId="77777777" w:rsidR="00A14C64" w:rsidRDefault="00A14C64" w:rsidP="0052141B">
            <w:pPr>
              <w:jc w:val="center"/>
              <w:rPr>
                <w:b/>
                <w:iCs/>
              </w:rPr>
            </w:pPr>
            <w:r w:rsidRPr="001C069D">
              <w:rPr>
                <w:kern w:val="24"/>
                <w:sz w:val="22"/>
                <w:szCs w:val="22"/>
              </w:rPr>
              <w:t xml:space="preserve">Scenario </w:t>
            </w:r>
            <w:r>
              <w:rPr>
                <w:kern w:val="24"/>
                <w:sz w:val="22"/>
                <w:szCs w:val="22"/>
              </w:rPr>
              <w:t>B</w:t>
            </w:r>
            <w:r w:rsidRPr="00824096">
              <w:rPr>
                <w:b/>
                <w:iCs/>
              </w:rPr>
              <w:t xml:space="preserve"> </w:t>
            </w:r>
            <w:r w:rsidRPr="00AE771A">
              <w:rPr>
                <w:b/>
                <w:iCs/>
                <w:noProof/>
              </w:rPr>
              <w:drawing>
                <wp:inline distT="0" distB="0" distL="0" distR="0" wp14:anchorId="3DCE9E3D" wp14:editId="3A996B0B">
                  <wp:extent cx="2880000" cy="1769143"/>
                  <wp:effectExtent l="0" t="0" r="0" b="2540"/>
                  <wp:docPr id="14" name="Picture 7">
                    <a:extLst xmlns:a="http://schemas.openxmlformats.org/drawingml/2006/main">
                      <a:ext uri="{FF2B5EF4-FFF2-40B4-BE49-F238E27FC236}">
                        <a16:creationId xmlns:a16="http://schemas.microsoft.com/office/drawing/2014/main" id="{DF216466-0265-479B-8AB1-AF4C64778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F216466-0265-479B-8AB1-AF4C647780D4}"/>
                              </a:ext>
                            </a:extLst>
                          </pic:cNvPr>
                          <pic:cNvPicPr>
                            <a:picLocks noChangeAspect="1"/>
                          </pic:cNvPicPr>
                        </pic:nvPicPr>
                        <pic:blipFill>
                          <a:blip r:embed="rId13"/>
                          <a:stretch>
                            <a:fillRect/>
                          </a:stretch>
                        </pic:blipFill>
                        <pic:spPr>
                          <a:xfrm>
                            <a:off x="0" y="0"/>
                            <a:ext cx="2880000" cy="1769143"/>
                          </a:xfrm>
                          <a:prstGeom prst="rect">
                            <a:avLst/>
                          </a:prstGeom>
                        </pic:spPr>
                      </pic:pic>
                    </a:graphicData>
                  </a:graphic>
                </wp:inline>
              </w:drawing>
            </w:r>
          </w:p>
        </w:tc>
      </w:tr>
      <w:tr w:rsidR="00422344" w14:paraId="689171C2" w14:textId="77777777" w:rsidTr="00422344">
        <w:tc>
          <w:tcPr>
            <w:tcW w:w="9629" w:type="dxa"/>
            <w:gridSpan w:val="2"/>
          </w:tcPr>
          <w:p w14:paraId="08CAD671" w14:textId="3864D610" w:rsidR="00422344" w:rsidRPr="001C069D" w:rsidRDefault="00422344" w:rsidP="0052141B">
            <w:pPr>
              <w:jc w:val="center"/>
              <w:rPr>
                <w:kern w:val="24"/>
                <w:sz w:val="22"/>
                <w:szCs w:val="22"/>
              </w:rPr>
            </w:pPr>
            <w:r>
              <w:rPr>
                <w:b/>
                <w:iCs/>
              </w:rPr>
              <w:t xml:space="preserve">Figure </w:t>
            </w:r>
            <w:r>
              <w:rPr>
                <w:b/>
                <w:iCs/>
              </w:rPr>
              <w:t>2</w:t>
            </w:r>
            <w:r>
              <w:rPr>
                <w:b/>
                <w:iCs/>
              </w:rPr>
              <w:t xml:space="preserve">. </w:t>
            </w:r>
            <w:r w:rsidR="00210D9C">
              <w:rPr>
                <w:b/>
                <w:iCs/>
              </w:rPr>
              <w:t>I</w:t>
            </w:r>
            <w:r w:rsidR="00210D9C">
              <w:rPr>
                <w:b/>
                <w:iCs/>
              </w:rPr>
              <w:t xml:space="preserve">mpact </w:t>
            </w:r>
            <w:r w:rsidR="00210D9C">
              <w:rPr>
                <w:b/>
                <w:iCs/>
              </w:rPr>
              <w:t>of the number of RX beams on the link budget.</w:t>
            </w:r>
          </w:p>
        </w:tc>
      </w:tr>
    </w:tbl>
    <w:p w14:paraId="0F28C712" w14:textId="77777777" w:rsidR="00210D9C" w:rsidRDefault="00210D9C" w:rsidP="00A14C64">
      <w:pPr>
        <w:ind w:left="284"/>
        <w:rPr>
          <w:b/>
          <w:iCs/>
        </w:rPr>
      </w:pPr>
    </w:p>
    <w:p w14:paraId="2462EC33" w14:textId="0E19CF0C" w:rsidR="00B31E88" w:rsidRDefault="00B31E88" w:rsidP="00A14C64">
      <w:pPr>
        <w:ind w:left="284"/>
        <w:rPr>
          <w:b/>
          <w:iCs/>
        </w:rPr>
      </w:pPr>
      <w:r>
        <w:rPr>
          <w:b/>
          <w:iCs/>
        </w:rPr>
        <w:t>Proposal 1: RAN4 to consider reduction of scaling factor N for FR2 HST scenario.</w:t>
      </w:r>
    </w:p>
    <w:p w14:paraId="7351A2A8" w14:textId="1D34AA90" w:rsidR="00A14C64" w:rsidRPr="00CD06AF" w:rsidRDefault="00A14C64" w:rsidP="00A14C64">
      <w:pPr>
        <w:ind w:left="284"/>
        <w:rPr>
          <w:b/>
          <w:iCs/>
          <w:lang w:val="en-US"/>
        </w:rPr>
      </w:pPr>
      <w:r>
        <w:rPr>
          <w:b/>
          <w:iCs/>
        </w:rPr>
        <w:t xml:space="preserve">Observation 1: </w:t>
      </w:r>
      <w:r w:rsidRPr="00CD06AF">
        <w:rPr>
          <w:b/>
          <w:bCs/>
          <w:iCs/>
          <w:lang w:val="en-US"/>
        </w:rPr>
        <w:t xml:space="preserve">Different </w:t>
      </w:r>
      <w:r>
        <w:rPr>
          <w:b/>
          <w:bCs/>
          <w:iCs/>
          <w:lang w:val="en-US"/>
        </w:rPr>
        <w:t xml:space="preserve">link budget behavior is observed for different FR2 HST </w:t>
      </w:r>
      <w:r w:rsidR="00422344">
        <w:rPr>
          <w:b/>
          <w:bCs/>
          <w:iCs/>
          <w:lang w:val="en-US"/>
        </w:rPr>
        <w:t>scenarios</w:t>
      </w:r>
      <w:r w:rsidRPr="00CD06AF">
        <w:rPr>
          <w:b/>
          <w:bCs/>
          <w:iCs/>
          <w:lang w:val="en-US"/>
        </w:rPr>
        <w:t>.</w:t>
      </w:r>
    </w:p>
    <w:p w14:paraId="70801E14" w14:textId="6E6D7641" w:rsidR="00696108" w:rsidRDefault="00A14C64" w:rsidP="00422344">
      <w:pPr>
        <w:ind w:left="284"/>
        <w:rPr>
          <w:b/>
          <w:iCs/>
        </w:rPr>
      </w:pPr>
      <w:r>
        <w:rPr>
          <w:b/>
          <w:iCs/>
        </w:rPr>
        <w:t xml:space="preserve">Proposal </w:t>
      </w:r>
      <w:r w:rsidR="00B31E88">
        <w:rPr>
          <w:b/>
          <w:iCs/>
        </w:rPr>
        <w:t>2</w:t>
      </w:r>
      <w:r>
        <w:rPr>
          <w:b/>
          <w:iCs/>
        </w:rPr>
        <w:t xml:space="preserve">: RAN4 </w:t>
      </w:r>
      <w:r w:rsidRPr="00BE0663">
        <w:rPr>
          <w:b/>
          <w:iCs/>
        </w:rPr>
        <w:t xml:space="preserve">to </w:t>
      </w:r>
      <w:r>
        <w:rPr>
          <w:b/>
          <w:iCs/>
        </w:rPr>
        <w:t>define deployment (scenario) dependent RRM requirements for FR2 HST</w:t>
      </w:r>
      <w:r w:rsidRPr="00BE0663">
        <w:rPr>
          <w:b/>
          <w:iCs/>
        </w:rPr>
        <w:t>.</w:t>
      </w:r>
    </w:p>
    <w:p w14:paraId="785E8A21" w14:textId="77777777" w:rsidR="00422344" w:rsidRDefault="00422344" w:rsidP="00422344">
      <w:pPr>
        <w:ind w:left="284"/>
        <w:rPr>
          <w:b/>
          <w:iCs/>
        </w:rPr>
      </w:pPr>
    </w:p>
    <w:p w14:paraId="119238EB" w14:textId="77777777" w:rsidR="00A14C64" w:rsidRPr="009B2CD3" w:rsidRDefault="00A14C64" w:rsidP="00A14C64">
      <w:pPr>
        <w:pStyle w:val="ListParagraph"/>
        <w:numPr>
          <w:ilvl w:val="0"/>
          <w:numId w:val="17"/>
        </w:numPr>
        <w:rPr>
          <w:b/>
          <w:bCs/>
        </w:rPr>
      </w:pPr>
      <w:r w:rsidRPr="009B2CD3">
        <w:rPr>
          <w:b/>
          <w:bCs/>
        </w:rPr>
        <w:t>DRX mode in FR2 HST</w:t>
      </w:r>
    </w:p>
    <w:p w14:paraId="4A835C6C" w14:textId="64714687" w:rsidR="00A14C64" w:rsidRDefault="00A14C64" w:rsidP="00A14C64">
      <w:pPr>
        <w:ind w:left="284"/>
      </w:pPr>
      <w:r>
        <w:t xml:space="preserve">The FR2 HST scenario consider </w:t>
      </w:r>
      <w:r w:rsidRPr="00DF5D9B">
        <w:t>vehicle-roof mounted customer-premises equipment (CPE)</w:t>
      </w:r>
      <w:r>
        <w:t xml:space="preserve"> as the user equipment. It’s essential to assume that such device is connected to the power supply and doesn’t require power saving. Moreover, such device is considered to be active most of the time to provide </w:t>
      </w:r>
      <w:r w:rsidRPr="00DF5D9B">
        <w:t>on-board broadband connections to user terminals</w:t>
      </w:r>
      <w:r>
        <w:t xml:space="preserve"> </w:t>
      </w:r>
      <w:r w:rsidRPr="00DF5D9B">
        <w:t>and/or for other train-specific demands as access link</w:t>
      </w:r>
      <w:r>
        <w:t xml:space="preserve">. </w:t>
      </w:r>
    </w:p>
    <w:p w14:paraId="2C7D77FF" w14:textId="640CBC6C" w:rsidR="00A14C64" w:rsidRPr="006F0602" w:rsidRDefault="00A14C64" w:rsidP="00A14C64">
      <w:pPr>
        <w:ind w:left="284"/>
        <w:rPr>
          <w:b/>
          <w:bCs/>
        </w:rPr>
      </w:pPr>
      <w:r w:rsidRPr="006F0602">
        <w:rPr>
          <w:b/>
          <w:bCs/>
        </w:rPr>
        <w:t xml:space="preserve">Proposal </w:t>
      </w:r>
      <w:r w:rsidR="00F85483">
        <w:rPr>
          <w:b/>
          <w:bCs/>
        </w:rPr>
        <w:t>3</w:t>
      </w:r>
      <w:r w:rsidRPr="006F0602">
        <w:rPr>
          <w:b/>
          <w:bCs/>
        </w:rPr>
        <w:t xml:space="preserve">: RAN4 to define requirements for FR2 HST only for </w:t>
      </w:r>
      <w:r w:rsidRPr="006F0602">
        <w:rPr>
          <w:b/>
          <w:bCs/>
          <w:u w:val="single"/>
        </w:rPr>
        <w:t>no DRX</w:t>
      </w:r>
      <w:r w:rsidRPr="006F0602">
        <w:rPr>
          <w:b/>
          <w:bCs/>
        </w:rPr>
        <w:t xml:space="preserve"> configuration</w:t>
      </w:r>
    </w:p>
    <w:p w14:paraId="79A44764" w14:textId="439B4089" w:rsidR="00C81190" w:rsidRDefault="00395052" w:rsidP="00395052">
      <w:pPr>
        <w:pStyle w:val="Heading1"/>
      </w:pPr>
      <w:r>
        <w:t>3</w:t>
      </w:r>
      <w:r>
        <w:tab/>
        <w:t>Conclusion</w:t>
      </w:r>
    </w:p>
    <w:p w14:paraId="1F6770A2" w14:textId="51593487" w:rsidR="003C60B9" w:rsidRDefault="00322F1F" w:rsidP="00423548">
      <w:pPr>
        <w:rPr>
          <w:lang w:eastAsia="zh-CN"/>
        </w:rPr>
      </w:pPr>
      <w:r>
        <w:rPr>
          <w:lang w:eastAsia="zh-CN"/>
        </w:rPr>
        <w:t>In this contribution</w:t>
      </w:r>
      <w:r w:rsidR="00734808">
        <w:rPr>
          <w:lang w:eastAsia="zh-CN"/>
        </w:rPr>
        <w:t xml:space="preserve">, we discussed the </w:t>
      </w:r>
      <w:r w:rsidR="00C11C3A" w:rsidRPr="00C11C3A">
        <w:rPr>
          <w:lang w:eastAsia="zh-CN"/>
        </w:rPr>
        <w:t>RRM requirements for HST in FR2</w:t>
      </w:r>
      <w:r w:rsidR="00734808">
        <w:rPr>
          <w:lang w:eastAsia="zh-CN"/>
        </w:rPr>
        <w:t>. After discussion, the following conclusions are provided:</w:t>
      </w:r>
    </w:p>
    <w:p w14:paraId="53C7809A" w14:textId="77777777" w:rsidR="00422344" w:rsidRDefault="00422344" w:rsidP="00422344">
      <w:pPr>
        <w:rPr>
          <w:b/>
          <w:iCs/>
        </w:rPr>
      </w:pPr>
      <w:r>
        <w:rPr>
          <w:b/>
          <w:iCs/>
        </w:rPr>
        <w:t>Proposal 1: RAN4 to consider reduction of scaling factor N for FR2 HST scenario.</w:t>
      </w:r>
    </w:p>
    <w:p w14:paraId="279D65FE" w14:textId="77777777" w:rsidR="00422344" w:rsidRPr="00CD06AF" w:rsidRDefault="00422344" w:rsidP="00422344">
      <w:pPr>
        <w:rPr>
          <w:b/>
          <w:iCs/>
          <w:lang w:val="en-US"/>
        </w:rPr>
      </w:pPr>
      <w:r>
        <w:rPr>
          <w:b/>
          <w:iCs/>
        </w:rPr>
        <w:t xml:space="preserve">Observation 1: </w:t>
      </w:r>
      <w:r w:rsidRPr="00CD06AF">
        <w:rPr>
          <w:b/>
          <w:bCs/>
          <w:iCs/>
          <w:lang w:val="en-US"/>
        </w:rPr>
        <w:t xml:space="preserve">Different </w:t>
      </w:r>
      <w:r>
        <w:rPr>
          <w:b/>
          <w:bCs/>
          <w:iCs/>
          <w:lang w:val="en-US"/>
        </w:rPr>
        <w:t>link budget behavior is observed for different FR2 HST scenarios</w:t>
      </w:r>
      <w:r w:rsidRPr="00CD06AF">
        <w:rPr>
          <w:b/>
          <w:bCs/>
          <w:iCs/>
          <w:lang w:val="en-US"/>
        </w:rPr>
        <w:t>.</w:t>
      </w:r>
    </w:p>
    <w:p w14:paraId="5C5E9724" w14:textId="2BAFD371" w:rsidR="00422344" w:rsidRDefault="00422344" w:rsidP="00422344">
      <w:pPr>
        <w:rPr>
          <w:b/>
          <w:iCs/>
        </w:rPr>
      </w:pPr>
      <w:r>
        <w:rPr>
          <w:b/>
          <w:iCs/>
        </w:rPr>
        <w:t xml:space="preserve">Proposal 2: RAN4 </w:t>
      </w:r>
      <w:r w:rsidRPr="00BE0663">
        <w:rPr>
          <w:b/>
          <w:iCs/>
        </w:rPr>
        <w:t xml:space="preserve">to </w:t>
      </w:r>
      <w:r>
        <w:rPr>
          <w:b/>
          <w:iCs/>
        </w:rPr>
        <w:t>define deployment (scenario) dependent RRM requirements for FR2 HST</w:t>
      </w:r>
      <w:r w:rsidRPr="00BE0663">
        <w:rPr>
          <w:b/>
          <w:iCs/>
        </w:rPr>
        <w:t>.</w:t>
      </w:r>
    </w:p>
    <w:p w14:paraId="134F506C" w14:textId="286500D0" w:rsidR="00422344" w:rsidRPr="00422344" w:rsidRDefault="00422344" w:rsidP="00422344">
      <w:pPr>
        <w:rPr>
          <w:b/>
          <w:bCs/>
        </w:rPr>
      </w:pPr>
      <w:r w:rsidRPr="006F0602">
        <w:rPr>
          <w:b/>
          <w:bCs/>
        </w:rPr>
        <w:t xml:space="preserve">Proposal </w:t>
      </w:r>
      <w:r>
        <w:rPr>
          <w:b/>
          <w:bCs/>
        </w:rPr>
        <w:t>3</w:t>
      </w:r>
      <w:r w:rsidRPr="006F0602">
        <w:rPr>
          <w:b/>
          <w:bCs/>
        </w:rPr>
        <w:t xml:space="preserve">: RAN4 to define requirements for FR2 HST only for </w:t>
      </w:r>
      <w:r w:rsidRPr="006F0602">
        <w:rPr>
          <w:b/>
          <w:bCs/>
          <w:u w:val="single"/>
        </w:rPr>
        <w:t>no DRX</w:t>
      </w:r>
      <w:r w:rsidRPr="006F0602">
        <w:rPr>
          <w:b/>
          <w:bCs/>
        </w:rPr>
        <w:t xml:space="preserve"> configuration</w:t>
      </w:r>
    </w:p>
    <w:p w14:paraId="4C0D287F" w14:textId="1AF1330D" w:rsidR="003B7888" w:rsidRDefault="003B7888" w:rsidP="003B7888">
      <w:pPr>
        <w:pStyle w:val="Heading1"/>
      </w:pPr>
      <w:r>
        <w:t>4</w:t>
      </w:r>
      <w:r>
        <w:tab/>
        <w:t>References</w:t>
      </w:r>
    </w:p>
    <w:p w14:paraId="58CD9071" w14:textId="0B14671F" w:rsidR="00482F4B" w:rsidRDefault="00482F4B" w:rsidP="004E59E4"/>
    <w:sectPr w:rsidR="00482F4B" w:rsidSect="007A4E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745CE" w14:textId="77777777" w:rsidR="00F673DB" w:rsidRDefault="00F673DB" w:rsidP="002B3503">
      <w:pPr>
        <w:spacing w:after="0"/>
      </w:pPr>
      <w:r>
        <w:separator/>
      </w:r>
    </w:p>
  </w:endnote>
  <w:endnote w:type="continuationSeparator" w:id="0">
    <w:p w14:paraId="138E8335" w14:textId="77777777" w:rsidR="00F673DB" w:rsidRDefault="00F673D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B31C7" w14:textId="77777777" w:rsidR="00C10B73" w:rsidRDefault="00C10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5B4A" w14:textId="77777777" w:rsidR="00C10B73" w:rsidRDefault="00C10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4715" w14:textId="77777777" w:rsidR="00C10B73" w:rsidRDefault="00C10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982B7" w14:textId="77777777" w:rsidR="00F673DB" w:rsidRDefault="00F673DB" w:rsidP="002B3503">
      <w:pPr>
        <w:spacing w:after="0"/>
      </w:pPr>
      <w:r>
        <w:separator/>
      </w:r>
    </w:p>
  </w:footnote>
  <w:footnote w:type="continuationSeparator" w:id="0">
    <w:p w14:paraId="0AF114ED" w14:textId="77777777" w:rsidR="00F673DB" w:rsidRDefault="00F673D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392FD1" w:rsidRDefault="00392F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E0A8C" w14:textId="77777777" w:rsidR="00C10B73" w:rsidRDefault="00C1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32AC6" w14:textId="77777777" w:rsidR="00C10B73" w:rsidRDefault="00C1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158CF"/>
    <w:multiLevelType w:val="hybridMultilevel"/>
    <w:tmpl w:val="BCC8B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C5B34"/>
    <w:multiLevelType w:val="hybridMultilevel"/>
    <w:tmpl w:val="364C76B6"/>
    <w:lvl w:ilvl="0" w:tplc="80A6C24A">
      <w:start w:val="1"/>
      <w:numFmt w:val="bullet"/>
      <w:lvlText w:val="•"/>
      <w:lvlJc w:val="left"/>
      <w:pPr>
        <w:tabs>
          <w:tab w:val="num" w:pos="720"/>
        </w:tabs>
        <w:ind w:left="720" w:hanging="360"/>
      </w:pPr>
      <w:rPr>
        <w:rFonts w:ascii="Arial" w:hAnsi="Arial" w:hint="default"/>
      </w:rPr>
    </w:lvl>
    <w:lvl w:ilvl="1" w:tplc="2CFE613E" w:tentative="1">
      <w:start w:val="1"/>
      <w:numFmt w:val="bullet"/>
      <w:lvlText w:val="•"/>
      <w:lvlJc w:val="left"/>
      <w:pPr>
        <w:tabs>
          <w:tab w:val="num" w:pos="1440"/>
        </w:tabs>
        <w:ind w:left="1440" w:hanging="360"/>
      </w:pPr>
      <w:rPr>
        <w:rFonts w:ascii="Arial" w:hAnsi="Arial" w:hint="default"/>
      </w:rPr>
    </w:lvl>
    <w:lvl w:ilvl="2" w:tplc="1B6A2878" w:tentative="1">
      <w:start w:val="1"/>
      <w:numFmt w:val="bullet"/>
      <w:lvlText w:val="•"/>
      <w:lvlJc w:val="left"/>
      <w:pPr>
        <w:tabs>
          <w:tab w:val="num" w:pos="2160"/>
        </w:tabs>
        <w:ind w:left="2160" w:hanging="360"/>
      </w:pPr>
      <w:rPr>
        <w:rFonts w:ascii="Arial" w:hAnsi="Arial" w:hint="default"/>
      </w:rPr>
    </w:lvl>
    <w:lvl w:ilvl="3" w:tplc="02F6E0C4">
      <w:start w:val="1"/>
      <w:numFmt w:val="bullet"/>
      <w:lvlText w:val="•"/>
      <w:lvlJc w:val="left"/>
      <w:pPr>
        <w:tabs>
          <w:tab w:val="num" w:pos="2880"/>
        </w:tabs>
        <w:ind w:left="2880" w:hanging="360"/>
      </w:pPr>
      <w:rPr>
        <w:rFonts w:ascii="Arial" w:hAnsi="Arial" w:hint="default"/>
      </w:rPr>
    </w:lvl>
    <w:lvl w:ilvl="4" w:tplc="3BDAA22E" w:tentative="1">
      <w:start w:val="1"/>
      <w:numFmt w:val="bullet"/>
      <w:lvlText w:val="•"/>
      <w:lvlJc w:val="left"/>
      <w:pPr>
        <w:tabs>
          <w:tab w:val="num" w:pos="3600"/>
        </w:tabs>
        <w:ind w:left="3600" w:hanging="360"/>
      </w:pPr>
      <w:rPr>
        <w:rFonts w:ascii="Arial" w:hAnsi="Arial" w:hint="default"/>
      </w:rPr>
    </w:lvl>
    <w:lvl w:ilvl="5" w:tplc="3DF08152" w:tentative="1">
      <w:start w:val="1"/>
      <w:numFmt w:val="bullet"/>
      <w:lvlText w:val="•"/>
      <w:lvlJc w:val="left"/>
      <w:pPr>
        <w:tabs>
          <w:tab w:val="num" w:pos="4320"/>
        </w:tabs>
        <w:ind w:left="4320" w:hanging="360"/>
      </w:pPr>
      <w:rPr>
        <w:rFonts w:ascii="Arial" w:hAnsi="Arial" w:hint="default"/>
      </w:rPr>
    </w:lvl>
    <w:lvl w:ilvl="6" w:tplc="92DEDA64" w:tentative="1">
      <w:start w:val="1"/>
      <w:numFmt w:val="bullet"/>
      <w:lvlText w:val="•"/>
      <w:lvlJc w:val="left"/>
      <w:pPr>
        <w:tabs>
          <w:tab w:val="num" w:pos="5040"/>
        </w:tabs>
        <w:ind w:left="5040" w:hanging="360"/>
      </w:pPr>
      <w:rPr>
        <w:rFonts w:ascii="Arial" w:hAnsi="Arial" w:hint="default"/>
      </w:rPr>
    </w:lvl>
    <w:lvl w:ilvl="7" w:tplc="AA36573E" w:tentative="1">
      <w:start w:val="1"/>
      <w:numFmt w:val="bullet"/>
      <w:lvlText w:val="•"/>
      <w:lvlJc w:val="left"/>
      <w:pPr>
        <w:tabs>
          <w:tab w:val="num" w:pos="5760"/>
        </w:tabs>
        <w:ind w:left="5760" w:hanging="360"/>
      </w:pPr>
      <w:rPr>
        <w:rFonts w:ascii="Arial" w:hAnsi="Arial" w:hint="default"/>
      </w:rPr>
    </w:lvl>
    <w:lvl w:ilvl="8" w:tplc="7E7CD6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97FB4"/>
    <w:multiLevelType w:val="hybridMultilevel"/>
    <w:tmpl w:val="D3E6DA78"/>
    <w:lvl w:ilvl="0" w:tplc="DF1CB720">
      <w:start w:val="1"/>
      <w:numFmt w:val="bullet"/>
      <w:lvlText w:val="•"/>
      <w:lvlJc w:val="left"/>
      <w:pPr>
        <w:tabs>
          <w:tab w:val="num" w:pos="720"/>
        </w:tabs>
        <w:ind w:left="720" w:hanging="360"/>
      </w:pPr>
      <w:rPr>
        <w:rFonts w:ascii="Arial" w:hAnsi="Arial" w:hint="default"/>
      </w:rPr>
    </w:lvl>
    <w:lvl w:ilvl="1" w:tplc="C8367A2A">
      <w:start w:val="1"/>
      <w:numFmt w:val="bullet"/>
      <w:lvlText w:val="•"/>
      <w:lvlJc w:val="left"/>
      <w:pPr>
        <w:tabs>
          <w:tab w:val="num" w:pos="1440"/>
        </w:tabs>
        <w:ind w:left="1440" w:hanging="360"/>
      </w:pPr>
      <w:rPr>
        <w:rFonts w:ascii="Arial" w:hAnsi="Arial" w:hint="default"/>
      </w:rPr>
    </w:lvl>
    <w:lvl w:ilvl="2" w:tplc="25300674">
      <w:start w:val="1"/>
      <w:numFmt w:val="bullet"/>
      <w:lvlText w:val="•"/>
      <w:lvlJc w:val="left"/>
      <w:pPr>
        <w:tabs>
          <w:tab w:val="num" w:pos="2160"/>
        </w:tabs>
        <w:ind w:left="2160" w:hanging="360"/>
      </w:pPr>
      <w:rPr>
        <w:rFonts w:ascii="Arial" w:hAnsi="Arial" w:hint="default"/>
      </w:rPr>
    </w:lvl>
    <w:lvl w:ilvl="3" w:tplc="D9CE2CEE" w:tentative="1">
      <w:start w:val="1"/>
      <w:numFmt w:val="bullet"/>
      <w:lvlText w:val="•"/>
      <w:lvlJc w:val="left"/>
      <w:pPr>
        <w:tabs>
          <w:tab w:val="num" w:pos="2880"/>
        </w:tabs>
        <w:ind w:left="2880" w:hanging="360"/>
      </w:pPr>
      <w:rPr>
        <w:rFonts w:ascii="Arial" w:hAnsi="Arial" w:hint="default"/>
      </w:rPr>
    </w:lvl>
    <w:lvl w:ilvl="4" w:tplc="134EDBC2" w:tentative="1">
      <w:start w:val="1"/>
      <w:numFmt w:val="bullet"/>
      <w:lvlText w:val="•"/>
      <w:lvlJc w:val="left"/>
      <w:pPr>
        <w:tabs>
          <w:tab w:val="num" w:pos="3600"/>
        </w:tabs>
        <w:ind w:left="3600" w:hanging="360"/>
      </w:pPr>
      <w:rPr>
        <w:rFonts w:ascii="Arial" w:hAnsi="Arial" w:hint="default"/>
      </w:rPr>
    </w:lvl>
    <w:lvl w:ilvl="5" w:tplc="23A4A922" w:tentative="1">
      <w:start w:val="1"/>
      <w:numFmt w:val="bullet"/>
      <w:lvlText w:val="•"/>
      <w:lvlJc w:val="left"/>
      <w:pPr>
        <w:tabs>
          <w:tab w:val="num" w:pos="4320"/>
        </w:tabs>
        <w:ind w:left="4320" w:hanging="360"/>
      </w:pPr>
      <w:rPr>
        <w:rFonts w:ascii="Arial" w:hAnsi="Arial" w:hint="default"/>
      </w:rPr>
    </w:lvl>
    <w:lvl w:ilvl="6" w:tplc="F976E6AC" w:tentative="1">
      <w:start w:val="1"/>
      <w:numFmt w:val="bullet"/>
      <w:lvlText w:val="•"/>
      <w:lvlJc w:val="left"/>
      <w:pPr>
        <w:tabs>
          <w:tab w:val="num" w:pos="5040"/>
        </w:tabs>
        <w:ind w:left="5040" w:hanging="360"/>
      </w:pPr>
      <w:rPr>
        <w:rFonts w:ascii="Arial" w:hAnsi="Arial" w:hint="default"/>
      </w:rPr>
    </w:lvl>
    <w:lvl w:ilvl="7" w:tplc="F82C6A34" w:tentative="1">
      <w:start w:val="1"/>
      <w:numFmt w:val="bullet"/>
      <w:lvlText w:val="•"/>
      <w:lvlJc w:val="left"/>
      <w:pPr>
        <w:tabs>
          <w:tab w:val="num" w:pos="5760"/>
        </w:tabs>
        <w:ind w:left="5760" w:hanging="360"/>
      </w:pPr>
      <w:rPr>
        <w:rFonts w:ascii="Arial" w:hAnsi="Arial" w:hint="default"/>
      </w:rPr>
    </w:lvl>
    <w:lvl w:ilvl="8" w:tplc="EAEACC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92519E"/>
    <w:multiLevelType w:val="hybridMultilevel"/>
    <w:tmpl w:val="9C6A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835188"/>
    <w:multiLevelType w:val="hybridMultilevel"/>
    <w:tmpl w:val="F258A23E"/>
    <w:lvl w:ilvl="0" w:tplc="DBA25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480150"/>
    <w:multiLevelType w:val="hybridMultilevel"/>
    <w:tmpl w:val="0B5C3B7A"/>
    <w:lvl w:ilvl="0" w:tplc="3DA0A6F0">
      <w:start w:val="1"/>
      <w:numFmt w:val="bullet"/>
      <w:lvlText w:val="•"/>
      <w:lvlJc w:val="left"/>
      <w:pPr>
        <w:tabs>
          <w:tab w:val="num" w:pos="720"/>
        </w:tabs>
        <w:ind w:left="720" w:hanging="360"/>
      </w:pPr>
      <w:rPr>
        <w:rFonts w:ascii="Arial" w:hAnsi="Arial" w:hint="default"/>
      </w:rPr>
    </w:lvl>
    <w:lvl w:ilvl="1" w:tplc="E8F23D62">
      <w:start w:val="1"/>
      <w:numFmt w:val="bullet"/>
      <w:lvlText w:val="•"/>
      <w:lvlJc w:val="left"/>
      <w:pPr>
        <w:tabs>
          <w:tab w:val="num" w:pos="1440"/>
        </w:tabs>
        <w:ind w:left="1440" w:hanging="360"/>
      </w:pPr>
      <w:rPr>
        <w:rFonts w:ascii="Arial" w:hAnsi="Arial" w:hint="default"/>
      </w:rPr>
    </w:lvl>
    <w:lvl w:ilvl="2" w:tplc="3B327378">
      <w:start w:val="1"/>
      <w:numFmt w:val="bullet"/>
      <w:lvlText w:val="•"/>
      <w:lvlJc w:val="left"/>
      <w:pPr>
        <w:tabs>
          <w:tab w:val="num" w:pos="2160"/>
        </w:tabs>
        <w:ind w:left="2160" w:hanging="360"/>
      </w:pPr>
      <w:rPr>
        <w:rFonts w:ascii="Arial" w:hAnsi="Arial" w:hint="default"/>
      </w:rPr>
    </w:lvl>
    <w:lvl w:ilvl="3" w:tplc="33686DAA" w:tentative="1">
      <w:start w:val="1"/>
      <w:numFmt w:val="bullet"/>
      <w:lvlText w:val="•"/>
      <w:lvlJc w:val="left"/>
      <w:pPr>
        <w:tabs>
          <w:tab w:val="num" w:pos="2880"/>
        </w:tabs>
        <w:ind w:left="2880" w:hanging="360"/>
      </w:pPr>
      <w:rPr>
        <w:rFonts w:ascii="Arial" w:hAnsi="Arial" w:hint="default"/>
      </w:rPr>
    </w:lvl>
    <w:lvl w:ilvl="4" w:tplc="B4AE14E8" w:tentative="1">
      <w:start w:val="1"/>
      <w:numFmt w:val="bullet"/>
      <w:lvlText w:val="•"/>
      <w:lvlJc w:val="left"/>
      <w:pPr>
        <w:tabs>
          <w:tab w:val="num" w:pos="3600"/>
        </w:tabs>
        <w:ind w:left="3600" w:hanging="360"/>
      </w:pPr>
      <w:rPr>
        <w:rFonts w:ascii="Arial" w:hAnsi="Arial" w:hint="default"/>
      </w:rPr>
    </w:lvl>
    <w:lvl w:ilvl="5" w:tplc="7D5E0B68" w:tentative="1">
      <w:start w:val="1"/>
      <w:numFmt w:val="bullet"/>
      <w:lvlText w:val="•"/>
      <w:lvlJc w:val="left"/>
      <w:pPr>
        <w:tabs>
          <w:tab w:val="num" w:pos="4320"/>
        </w:tabs>
        <w:ind w:left="4320" w:hanging="360"/>
      </w:pPr>
      <w:rPr>
        <w:rFonts w:ascii="Arial" w:hAnsi="Arial" w:hint="default"/>
      </w:rPr>
    </w:lvl>
    <w:lvl w:ilvl="6" w:tplc="ED705F74" w:tentative="1">
      <w:start w:val="1"/>
      <w:numFmt w:val="bullet"/>
      <w:lvlText w:val="•"/>
      <w:lvlJc w:val="left"/>
      <w:pPr>
        <w:tabs>
          <w:tab w:val="num" w:pos="5040"/>
        </w:tabs>
        <w:ind w:left="5040" w:hanging="360"/>
      </w:pPr>
      <w:rPr>
        <w:rFonts w:ascii="Arial" w:hAnsi="Arial" w:hint="default"/>
      </w:rPr>
    </w:lvl>
    <w:lvl w:ilvl="7" w:tplc="3BBAA764" w:tentative="1">
      <w:start w:val="1"/>
      <w:numFmt w:val="bullet"/>
      <w:lvlText w:val="•"/>
      <w:lvlJc w:val="left"/>
      <w:pPr>
        <w:tabs>
          <w:tab w:val="num" w:pos="5760"/>
        </w:tabs>
        <w:ind w:left="5760" w:hanging="360"/>
      </w:pPr>
      <w:rPr>
        <w:rFonts w:ascii="Arial" w:hAnsi="Arial" w:hint="default"/>
      </w:rPr>
    </w:lvl>
    <w:lvl w:ilvl="8" w:tplc="3522D7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2"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3"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DA461C"/>
    <w:multiLevelType w:val="hybridMultilevel"/>
    <w:tmpl w:val="B0B815FE"/>
    <w:lvl w:ilvl="0" w:tplc="2FEAB08C">
      <w:start w:val="1"/>
      <w:numFmt w:val="bullet"/>
      <w:lvlText w:val="•"/>
      <w:lvlJc w:val="left"/>
      <w:pPr>
        <w:tabs>
          <w:tab w:val="num" w:pos="720"/>
        </w:tabs>
        <w:ind w:left="720" w:hanging="360"/>
      </w:pPr>
      <w:rPr>
        <w:rFonts w:ascii="Arial" w:hAnsi="Arial" w:hint="default"/>
      </w:rPr>
    </w:lvl>
    <w:lvl w:ilvl="1" w:tplc="7B3E6300" w:tentative="1">
      <w:start w:val="1"/>
      <w:numFmt w:val="bullet"/>
      <w:lvlText w:val="•"/>
      <w:lvlJc w:val="left"/>
      <w:pPr>
        <w:tabs>
          <w:tab w:val="num" w:pos="1440"/>
        </w:tabs>
        <w:ind w:left="1440" w:hanging="360"/>
      </w:pPr>
      <w:rPr>
        <w:rFonts w:ascii="Arial" w:hAnsi="Arial" w:hint="default"/>
      </w:rPr>
    </w:lvl>
    <w:lvl w:ilvl="2" w:tplc="784C806C" w:tentative="1">
      <w:start w:val="1"/>
      <w:numFmt w:val="bullet"/>
      <w:lvlText w:val="•"/>
      <w:lvlJc w:val="left"/>
      <w:pPr>
        <w:tabs>
          <w:tab w:val="num" w:pos="2160"/>
        </w:tabs>
        <w:ind w:left="2160" w:hanging="360"/>
      </w:pPr>
      <w:rPr>
        <w:rFonts w:ascii="Arial" w:hAnsi="Arial" w:hint="default"/>
      </w:rPr>
    </w:lvl>
    <w:lvl w:ilvl="3" w:tplc="32FE93E6" w:tentative="1">
      <w:start w:val="1"/>
      <w:numFmt w:val="bullet"/>
      <w:lvlText w:val="•"/>
      <w:lvlJc w:val="left"/>
      <w:pPr>
        <w:tabs>
          <w:tab w:val="num" w:pos="2880"/>
        </w:tabs>
        <w:ind w:left="2880" w:hanging="360"/>
      </w:pPr>
      <w:rPr>
        <w:rFonts w:ascii="Arial" w:hAnsi="Arial" w:hint="default"/>
      </w:rPr>
    </w:lvl>
    <w:lvl w:ilvl="4" w:tplc="64D80BBA" w:tentative="1">
      <w:start w:val="1"/>
      <w:numFmt w:val="bullet"/>
      <w:lvlText w:val="•"/>
      <w:lvlJc w:val="left"/>
      <w:pPr>
        <w:tabs>
          <w:tab w:val="num" w:pos="3600"/>
        </w:tabs>
        <w:ind w:left="3600" w:hanging="360"/>
      </w:pPr>
      <w:rPr>
        <w:rFonts w:ascii="Arial" w:hAnsi="Arial" w:hint="default"/>
      </w:rPr>
    </w:lvl>
    <w:lvl w:ilvl="5" w:tplc="413E7468" w:tentative="1">
      <w:start w:val="1"/>
      <w:numFmt w:val="bullet"/>
      <w:lvlText w:val="•"/>
      <w:lvlJc w:val="left"/>
      <w:pPr>
        <w:tabs>
          <w:tab w:val="num" w:pos="4320"/>
        </w:tabs>
        <w:ind w:left="4320" w:hanging="360"/>
      </w:pPr>
      <w:rPr>
        <w:rFonts w:ascii="Arial" w:hAnsi="Arial" w:hint="default"/>
      </w:rPr>
    </w:lvl>
    <w:lvl w:ilvl="6" w:tplc="3B3E2DE2" w:tentative="1">
      <w:start w:val="1"/>
      <w:numFmt w:val="bullet"/>
      <w:lvlText w:val="•"/>
      <w:lvlJc w:val="left"/>
      <w:pPr>
        <w:tabs>
          <w:tab w:val="num" w:pos="5040"/>
        </w:tabs>
        <w:ind w:left="5040" w:hanging="360"/>
      </w:pPr>
      <w:rPr>
        <w:rFonts w:ascii="Arial" w:hAnsi="Arial" w:hint="default"/>
      </w:rPr>
    </w:lvl>
    <w:lvl w:ilvl="7" w:tplc="C4627560" w:tentative="1">
      <w:start w:val="1"/>
      <w:numFmt w:val="bullet"/>
      <w:lvlText w:val="•"/>
      <w:lvlJc w:val="left"/>
      <w:pPr>
        <w:tabs>
          <w:tab w:val="num" w:pos="5760"/>
        </w:tabs>
        <w:ind w:left="5760" w:hanging="360"/>
      </w:pPr>
      <w:rPr>
        <w:rFonts w:ascii="Arial" w:hAnsi="Arial" w:hint="default"/>
      </w:rPr>
    </w:lvl>
    <w:lvl w:ilvl="8" w:tplc="56E05E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263618"/>
    <w:multiLevelType w:val="hybridMultilevel"/>
    <w:tmpl w:val="0408E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E1252F"/>
    <w:multiLevelType w:val="hybridMultilevel"/>
    <w:tmpl w:val="40C06F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3"/>
  </w:num>
  <w:num w:numId="3">
    <w:abstractNumId w:val="8"/>
  </w:num>
  <w:num w:numId="4">
    <w:abstractNumId w:val="4"/>
  </w:num>
  <w:num w:numId="5">
    <w:abstractNumId w:val="18"/>
  </w:num>
  <w:num w:numId="6">
    <w:abstractNumId w:val="15"/>
  </w:num>
  <w:num w:numId="7">
    <w:abstractNumId w:val="10"/>
  </w:num>
  <w:num w:numId="8">
    <w:abstractNumId w:val="7"/>
  </w:num>
  <w:num w:numId="9">
    <w:abstractNumId w:val="0"/>
  </w:num>
  <w:num w:numId="10">
    <w:abstractNumId w:val="11"/>
  </w:num>
  <w:num w:numId="11">
    <w:abstractNumId w:val="3"/>
  </w:num>
  <w:num w:numId="12">
    <w:abstractNumId w:val="2"/>
  </w:num>
  <w:num w:numId="13">
    <w:abstractNumId w:val="9"/>
  </w:num>
  <w:num w:numId="14">
    <w:abstractNumId w:val="1"/>
  </w:num>
  <w:num w:numId="15">
    <w:abstractNumId w:val="6"/>
  </w:num>
  <w:num w:numId="16">
    <w:abstractNumId w:val="14"/>
  </w:num>
  <w:num w:numId="17">
    <w:abstractNumId w:val="17"/>
  </w:num>
  <w:num w:numId="18">
    <w:abstractNumId w:val="5"/>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12ED3"/>
    <w:rsid w:val="00020B90"/>
    <w:rsid w:val="00027BA3"/>
    <w:rsid w:val="00033203"/>
    <w:rsid w:val="00037CBE"/>
    <w:rsid w:val="000561D8"/>
    <w:rsid w:val="0006257C"/>
    <w:rsid w:val="00066F87"/>
    <w:rsid w:val="000703B7"/>
    <w:rsid w:val="000709B8"/>
    <w:rsid w:val="00071F75"/>
    <w:rsid w:val="000720AF"/>
    <w:rsid w:val="0007242D"/>
    <w:rsid w:val="00080613"/>
    <w:rsid w:val="00091F0B"/>
    <w:rsid w:val="00092F88"/>
    <w:rsid w:val="000A234F"/>
    <w:rsid w:val="000A6473"/>
    <w:rsid w:val="000B4E56"/>
    <w:rsid w:val="000B5E8E"/>
    <w:rsid w:val="000D3327"/>
    <w:rsid w:val="000E0CC4"/>
    <w:rsid w:val="000E63F6"/>
    <w:rsid w:val="000E7609"/>
    <w:rsid w:val="000F2546"/>
    <w:rsid w:val="000F403B"/>
    <w:rsid w:val="000F7968"/>
    <w:rsid w:val="00100719"/>
    <w:rsid w:val="00101626"/>
    <w:rsid w:val="00110BF2"/>
    <w:rsid w:val="00110CD5"/>
    <w:rsid w:val="00111E6A"/>
    <w:rsid w:val="0011270B"/>
    <w:rsid w:val="00112B18"/>
    <w:rsid w:val="0012062A"/>
    <w:rsid w:val="0013382B"/>
    <w:rsid w:val="001364A1"/>
    <w:rsid w:val="001365ED"/>
    <w:rsid w:val="0013691F"/>
    <w:rsid w:val="00141FE5"/>
    <w:rsid w:val="00144535"/>
    <w:rsid w:val="0014691F"/>
    <w:rsid w:val="0015000E"/>
    <w:rsid w:val="00150685"/>
    <w:rsid w:val="0016131F"/>
    <w:rsid w:val="001652F6"/>
    <w:rsid w:val="001676B5"/>
    <w:rsid w:val="00172481"/>
    <w:rsid w:val="00174266"/>
    <w:rsid w:val="001805EB"/>
    <w:rsid w:val="00180D6F"/>
    <w:rsid w:val="00182259"/>
    <w:rsid w:val="00183685"/>
    <w:rsid w:val="001842A2"/>
    <w:rsid w:val="001953B8"/>
    <w:rsid w:val="001954C0"/>
    <w:rsid w:val="00197ED8"/>
    <w:rsid w:val="001B7998"/>
    <w:rsid w:val="001C069D"/>
    <w:rsid w:val="001C46DF"/>
    <w:rsid w:val="001C5501"/>
    <w:rsid w:val="001C5D78"/>
    <w:rsid w:val="001E0C0C"/>
    <w:rsid w:val="001E2ED6"/>
    <w:rsid w:val="001E48CA"/>
    <w:rsid w:val="001F47ED"/>
    <w:rsid w:val="001F588D"/>
    <w:rsid w:val="001F677E"/>
    <w:rsid w:val="00204A81"/>
    <w:rsid w:val="00207AB3"/>
    <w:rsid w:val="00210D9C"/>
    <w:rsid w:val="00212076"/>
    <w:rsid w:val="00212405"/>
    <w:rsid w:val="002127E2"/>
    <w:rsid w:val="002141E0"/>
    <w:rsid w:val="00214C87"/>
    <w:rsid w:val="00215035"/>
    <w:rsid w:val="00216BDC"/>
    <w:rsid w:val="002245BB"/>
    <w:rsid w:val="002271BF"/>
    <w:rsid w:val="00231841"/>
    <w:rsid w:val="00235225"/>
    <w:rsid w:val="00237044"/>
    <w:rsid w:val="00242D1F"/>
    <w:rsid w:val="0026365F"/>
    <w:rsid w:val="00264C90"/>
    <w:rsid w:val="002665EE"/>
    <w:rsid w:val="00275410"/>
    <w:rsid w:val="00284160"/>
    <w:rsid w:val="00286AE6"/>
    <w:rsid w:val="00291DDD"/>
    <w:rsid w:val="0029396C"/>
    <w:rsid w:val="002A49EA"/>
    <w:rsid w:val="002A7181"/>
    <w:rsid w:val="002B0691"/>
    <w:rsid w:val="002B08E8"/>
    <w:rsid w:val="002B3503"/>
    <w:rsid w:val="002B50FC"/>
    <w:rsid w:val="002B6B29"/>
    <w:rsid w:val="002C33BD"/>
    <w:rsid w:val="002C6BF9"/>
    <w:rsid w:val="002C6DD4"/>
    <w:rsid w:val="002C7997"/>
    <w:rsid w:val="002D0E2F"/>
    <w:rsid w:val="002E4C3C"/>
    <w:rsid w:val="002E683C"/>
    <w:rsid w:val="002F377D"/>
    <w:rsid w:val="002F505C"/>
    <w:rsid w:val="002F5B7F"/>
    <w:rsid w:val="002F5F17"/>
    <w:rsid w:val="002F6A38"/>
    <w:rsid w:val="003025C5"/>
    <w:rsid w:val="00310338"/>
    <w:rsid w:val="0031177C"/>
    <w:rsid w:val="00317483"/>
    <w:rsid w:val="00320C45"/>
    <w:rsid w:val="003216E2"/>
    <w:rsid w:val="00322F1F"/>
    <w:rsid w:val="003255D1"/>
    <w:rsid w:val="00325DF3"/>
    <w:rsid w:val="0032723A"/>
    <w:rsid w:val="0033505F"/>
    <w:rsid w:val="0033726D"/>
    <w:rsid w:val="0034701D"/>
    <w:rsid w:val="00347DB1"/>
    <w:rsid w:val="00347DEA"/>
    <w:rsid w:val="00347F2D"/>
    <w:rsid w:val="00360D2C"/>
    <w:rsid w:val="003717B0"/>
    <w:rsid w:val="00373ECA"/>
    <w:rsid w:val="003777FE"/>
    <w:rsid w:val="0037789E"/>
    <w:rsid w:val="00385186"/>
    <w:rsid w:val="003851D8"/>
    <w:rsid w:val="0039007D"/>
    <w:rsid w:val="00391391"/>
    <w:rsid w:val="00392FD1"/>
    <w:rsid w:val="0039429D"/>
    <w:rsid w:val="00395052"/>
    <w:rsid w:val="00395084"/>
    <w:rsid w:val="003A6E0E"/>
    <w:rsid w:val="003B471D"/>
    <w:rsid w:val="003B52C2"/>
    <w:rsid w:val="003B55EA"/>
    <w:rsid w:val="003B7888"/>
    <w:rsid w:val="003C60B9"/>
    <w:rsid w:val="003D0EF8"/>
    <w:rsid w:val="003D58BC"/>
    <w:rsid w:val="003E0EA8"/>
    <w:rsid w:val="003E17B6"/>
    <w:rsid w:val="003E3FE0"/>
    <w:rsid w:val="003E47F5"/>
    <w:rsid w:val="003E5380"/>
    <w:rsid w:val="003F27C0"/>
    <w:rsid w:val="003F33DF"/>
    <w:rsid w:val="003F497F"/>
    <w:rsid w:val="00405FB6"/>
    <w:rsid w:val="0040624B"/>
    <w:rsid w:val="00414169"/>
    <w:rsid w:val="00416E4B"/>
    <w:rsid w:val="0042109F"/>
    <w:rsid w:val="00421CF1"/>
    <w:rsid w:val="00422344"/>
    <w:rsid w:val="00423548"/>
    <w:rsid w:val="004262FD"/>
    <w:rsid w:val="00426417"/>
    <w:rsid w:val="0042683F"/>
    <w:rsid w:val="00426A90"/>
    <w:rsid w:val="00432E6A"/>
    <w:rsid w:val="0043450E"/>
    <w:rsid w:val="00445D6A"/>
    <w:rsid w:val="00447704"/>
    <w:rsid w:val="00453BA5"/>
    <w:rsid w:val="00453F38"/>
    <w:rsid w:val="00454E53"/>
    <w:rsid w:val="00456024"/>
    <w:rsid w:val="004600D2"/>
    <w:rsid w:val="004761FF"/>
    <w:rsid w:val="00482477"/>
    <w:rsid w:val="00482F4B"/>
    <w:rsid w:val="00491386"/>
    <w:rsid w:val="00493AEA"/>
    <w:rsid w:val="00494F18"/>
    <w:rsid w:val="00497223"/>
    <w:rsid w:val="004A41DA"/>
    <w:rsid w:val="004A5FC5"/>
    <w:rsid w:val="004A7BBF"/>
    <w:rsid w:val="004B37A7"/>
    <w:rsid w:val="004C0103"/>
    <w:rsid w:val="004C58F9"/>
    <w:rsid w:val="004D0C67"/>
    <w:rsid w:val="004D23C5"/>
    <w:rsid w:val="004D3D81"/>
    <w:rsid w:val="004D6710"/>
    <w:rsid w:val="004E3C24"/>
    <w:rsid w:val="004E59E4"/>
    <w:rsid w:val="004E6D6A"/>
    <w:rsid w:val="004F02C0"/>
    <w:rsid w:val="004F1FDB"/>
    <w:rsid w:val="004F3223"/>
    <w:rsid w:val="0050064E"/>
    <w:rsid w:val="00502C71"/>
    <w:rsid w:val="00511DAF"/>
    <w:rsid w:val="00513A8B"/>
    <w:rsid w:val="00513C34"/>
    <w:rsid w:val="00516863"/>
    <w:rsid w:val="00524F8A"/>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81142"/>
    <w:rsid w:val="005905F8"/>
    <w:rsid w:val="00592FB0"/>
    <w:rsid w:val="00597859"/>
    <w:rsid w:val="00597925"/>
    <w:rsid w:val="005A1F91"/>
    <w:rsid w:val="005A3452"/>
    <w:rsid w:val="005A3F46"/>
    <w:rsid w:val="005A62AF"/>
    <w:rsid w:val="005B0DF3"/>
    <w:rsid w:val="005B18D9"/>
    <w:rsid w:val="005B2640"/>
    <w:rsid w:val="005B2AB5"/>
    <w:rsid w:val="005B3821"/>
    <w:rsid w:val="005B5E86"/>
    <w:rsid w:val="005B7822"/>
    <w:rsid w:val="005D104C"/>
    <w:rsid w:val="005D34FC"/>
    <w:rsid w:val="005E1E05"/>
    <w:rsid w:val="005E4F26"/>
    <w:rsid w:val="005F000D"/>
    <w:rsid w:val="005F0DE0"/>
    <w:rsid w:val="005F520F"/>
    <w:rsid w:val="005F5388"/>
    <w:rsid w:val="005F5692"/>
    <w:rsid w:val="005F632D"/>
    <w:rsid w:val="005F6CE3"/>
    <w:rsid w:val="005F7D9C"/>
    <w:rsid w:val="00602EB6"/>
    <w:rsid w:val="00603204"/>
    <w:rsid w:val="006050E0"/>
    <w:rsid w:val="00610978"/>
    <w:rsid w:val="0061542C"/>
    <w:rsid w:val="00620AAE"/>
    <w:rsid w:val="00627E6B"/>
    <w:rsid w:val="00635383"/>
    <w:rsid w:val="00640778"/>
    <w:rsid w:val="00641C2E"/>
    <w:rsid w:val="00641E1F"/>
    <w:rsid w:val="00641F96"/>
    <w:rsid w:val="00642881"/>
    <w:rsid w:val="00643310"/>
    <w:rsid w:val="0064720A"/>
    <w:rsid w:val="00664DF6"/>
    <w:rsid w:val="00665282"/>
    <w:rsid w:val="006658FD"/>
    <w:rsid w:val="006675B6"/>
    <w:rsid w:val="00670832"/>
    <w:rsid w:val="00671B5E"/>
    <w:rsid w:val="006730AA"/>
    <w:rsid w:val="00677C7D"/>
    <w:rsid w:val="00680F48"/>
    <w:rsid w:val="0068242F"/>
    <w:rsid w:val="006919C7"/>
    <w:rsid w:val="00693491"/>
    <w:rsid w:val="006951F1"/>
    <w:rsid w:val="00696108"/>
    <w:rsid w:val="0069668B"/>
    <w:rsid w:val="006A0704"/>
    <w:rsid w:val="006A11C0"/>
    <w:rsid w:val="006B64E2"/>
    <w:rsid w:val="006C08CB"/>
    <w:rsid w:val="006C6840"/>
    <w:rsid w:val="006E42D0"/>
    <w:rsid w:val="006E7632"/>
    <w:rsid w:val="006F0602"/>
    <w:rsid w:val="006F526F"/>
    <w:rsid w:val="006F7A39"/>
    <w:rsid w:val="00700E66"/>
    <w:rsid w:val="00702B86"/>
    <w:rsid w:val="007036C3"/>
    <w:rsid w:val="00726265"/>
    <w:rsid w:val="007305F2"/>
    <w:rsid w:val="00732A0F"/>
    <w:rsid w:val="00734808"/>
    <w:rsid w:val="00734EBD"/>
    <w:rsid w:val="00744E81"/>
    <w:rsid w:val="00745200"/>
    <w:rsid w:val="00747BBF"/>
    <w:rsid w:val="00756203"/>
    <w:rsid w:val="0076238A"/>
    <w:rsid w:val="007634BF"/>
    <w:rsid w:val="007677D0"/>
    <w:rsid w:val="00792847"/>
    <w:rsid w:val="0079324C"/>
    <w:rsid w:val="00795412"/>
    <w:rsid w:val="007A4E51"/>
    <w:rsid w:val="007B108D"/>
    <w:rsid w:val="007B1FD2"/>
    <w:rsid w:val="007B64DB"/>
    <w:rsid w:val="007C4408"/>
    <w:rsid w:val="007D20DF"/>
    <w:rsid w:val="007D39B7"/>
    <w:rsid w:val="007D6E8A"/>
    <w:rsid w:val="007D7202"/>
    <w:rsid w:val="007E0246"/>
    <w:rsid w:val="007E5F7F"/>
    <w:rsid w:val="007E64EF"/>
    <w:rsid w:val="00802C1D"/>
    <w:rsid w:val="00805171"/>
    <w:rsid w:val="00806D1B"/>
    <w:rsid w:val="00812377"/>
    <w:rsid w:val="00817BC4"/>
    <w:rsid w:val="00817DF6"/>
    <w:rsid w:val="00821B89"/>
    <w:rsid w:val="008226F6"/>
    <w:rsid w:val="00822937"/>
    <w:rsid w:val="008236E4"/>
    <w:rsid w:val="00824096"/>
    <w:rsid w:val="00831FBB"/>
    <w:rsid w:val="008367D1"/>
    <w:rsid w:val="008414D0"/>
    <w:rsid w:val="00850296"/>
    <w:rsid w:val="00850E03"/>
    <w:rsid w:val="0086105E"/>
    <w:rsid w:val="00862292"/>
    <w:rsid w:val="00863DC0"/>
    <w:rsid w:val="008654E6"/>
    <w:rsid w:val="0087050F"/>
    <w:rsid w:val="00872775"/>
    <w:rsid w:val="00880176"/>
    <w:rsid w:val="00882113"/>
    <w:rsid w:val="00882B5D"/>
    <w:rsid w:val="00887732"/>
    <w:rsid w:val="008879C0"/>
    <w:rsid w:val="008942E7"/>
    <w:rsid w:val="008A1BAE"/>
    <w:rsid w:val="008A41EF"/>
    <w:rsid w:val="008A4493"/>
    <w:rsid w:val="008A52E2"/>
    <w:rsid w:val="008B1E27"/>
    <w:rsid w:val="008B3B76"/>
    <w:rsid w:val="008B41D0"/>
    <w:rsid w:val="008B5536"/>
    <w:rsid w:val="008B65C2"/>
    <w:rsid w:val="008B7F76"/>
    <w:rsid w:val="008C00C2"/>
    <w:rsid w:val="008D215B"/>
    <w:rsid w:val="008D6173"/>
    <w:rsid w:val="008E684D"/>
    <w:rsid w:val="008E7839"/>
    <w:rsid w:val="008F0ECE"/>
    <w:rsid w:val="008F4E8C"/>
    <w:rsid w:val="008F7598"/>
    <w:rsid w:val="0090243A"/>
    <w:rsid w:val="0091383D"/>
    <w:rsid w:val="00913917"/>
    <w:rsid w:val="00913F15"/>
    <w:rsid w:val="00921993"/>
    <w:rsid w:val="00922240"/>
    <w:rsid w:val="009224FC"/>
    <w:rsid w:val="00927708"/>
    <w:rsid w:val="00940559"/>
    <w:rsid w:val="00947FB6"/>
    <w:rsid w:val="00953C29"/>
    <w:rsid w:val="0095558E"/>
    <w:rsid w:val="00956469"/>
    <w:rsid w:val="00956D11"/>
    <w:rsid w:val="00960CB9"/>
    <w:rsid w:val="00960D1A"/>
    <w:rsid w:val="009675B3"/>
    <w:rsid w:val="009706E9"/>
    <w:rsid w:val="00975EB7"/>
    <w:rsid w:val="0097715D"/>
    <w:rsid w:val="00982D1B"/>
    <w:rsid w:val="009854B8"/>
    <w:rsid w:val="00996062"/>
    <w:rsid w:val="009A2ADE"/>
    <w:rsid w:val="009A47E5"/>
    <w:rsid w:val="009B011E"/>
    <w:rsid w:val="009B043A"/>
    <w:rsid w:val="009B1E68"/>
    <w:rsid w:val="009B2CD3"/>
    <w:rsid w:val="009B6377"/>
    <w:rsid w:val="009C4154"/>
    <w:rsid w:val="009C5521"/>
    <w:rsid w:val="009C5869"/>
    <w:rsid w:val="009D10C9"/>
    <w:rsid w:val="009D1DBD"/>
    <w:rsid w:val="009D615C"/>
    <w:rsid w:val="009E1F0E"/>
    <w:rsid w:val="009E6745"/>
    <w:rsid w:val="009F30F3"/>
    <w:rsid w:val="009F686C"/>
    <w:rsid w:val="00A0266F"/>
    <w:rsid w:val="00A06545"/>
    <w:rsid w:val="00A0670B"/>
    <w:rsid w:val="00A13D7E"/>
    <w:rsid w:val="00A14367"/>
    <w:rsid w:val="00A14C64"/>
    <w:rsid w:val="00A26376"/>
    <w:rsid w:val="00A27AB9"/>
    <w:rsid w:val="00A3348E"/>
    <w:rsid w:val="00A369CE"/>
    <w:rsid w:val="00A37358"/>
    <w:rsid w:val="00A41533"/>
    <w:rsid w:val="00A422BE"/>
    <w:rsid w:val="00A451E8"/>
    <w:rsid w:val="00A4622B"/>
    <w:rsid w:val="00A56E65"/>
    <w:rsid w:val="00A57EC0"/>
    <w:rsid w:val="00A6018C"/>
    <w:rsid w:val="00A6319C"/>
    <w:rsid w:val="00A63455"/>
    <w:rsid w:val="00A80F2A"/>
    <w:rsid w:val="00A87F69"/>
    <w:rsid w:val="00A92454"/>
    <w:rsid w:val="00A963E3"/>
    <w:rsid w:val="00AA1F4F"/>
    <w:rsid w:val="00AB2769"/>
    <w:rsid w:val="00AC1C1F"/>
    <w:rsid w:val="00AC4DB5"/>
    <w:rsid w:val="00AD1D93"/>
    <w:rsid w:val="00AD626B"/>
    <w:rsid w:val="00AD70EE"/>
    <w:rsid w:val="00AE076C"/>
    <w:rsid w:val="00AE6327"/>
    <w:rsid w:val="00AE771A"/>
    <w:rsid w:val="00AF4AA7"/>
    <w:rsid w:val="00AF7BBA"/>
    <w:rsid w:val="00AF7CB0"/>
    <w:rsid w:val="00AF7D18"/>
    <w:rsid w:val="00B0442D"/>
    <w:rsid w:val="00B07F37"/>
    <w:rsid w:val="00B1132A"/>
    <w:rsid w:val="00B1610D"/>
    <w:rsid w:val="00B17277"/>
    <w:rsid w:val="00B20D03"/>
    <w:rsid w:val="00B22B3E"/>
    <w:rsid w:val="00B23E7D"/>
    <w:rsid w:val="00B303CE"/>
    <w:rsid w:val="00B31E88"/>
    <w:rsid w:val="00B35E11"/>
    <w:rsid w:val="00B35E69"/>
    <w:rsid w:val="00B4385F"/>
    <w:rsid w:val="00B43EF2"/>
    <w:rsid w:val="00B46D15"/>
    <w:rsid w:val="00B5436F"/>
    <w:rsid w:val="00B55331"/>
    <w:rsid w:val="00B56F44"/>
    <w:rsid w:val="00B572DE"/>
    <w:rsid w:val="00B61A2E"/>
    <w:rsid w:val="00B65B59"/>
    <w:rsid w:val="00B66186"/>
    <w:rsid w:val="00B718F5"/>
    <w:rsid w:val="00B7606E"/>
    <w:rsid w:val="00B77C51"/>
    <w:rsid w:val="00B80895"/>
    <w:rsid w:val="00B85CAD"/>
    <w:rsid w:val="00B85D99"/>
    <w:rsid w:val="00BA4B3C"/>
    <w:rsid w:val="00BB12FD"/>
    <w:rsid w:val="00BB4448"/>
    <w:rsid w:val="00BB50F0"/>
    <w:rsid w:val="00BB5ECE"/>
    <w:rsid w:val="00BC764C"/>
    <w:rsid w:val="00BD1FA0"/>
    <w:rsid w:val="00BD2AB4"/>
    <w:rsid w:val="00BE0663"/>
    <w:rsid w:val="00BE0C63"/>
    <w:rsid w:val="00BE2195"/>
    <w:rsid w:val="00BF24D8"/>
    <w:rsid w:val="00BF4B17"/>
    <w:rsid w:val="00C00470"/>
    <w:rsid w:val="00C037A9"/>
    <w:rsid w:val="00C10B73"/>
    <w:rsid w:val="00C1137E"/>
    <w:rsid w:val="00C11C3A"/>
    <w:rsid w:val="00C212DA"/>
    <w:rsid w:val="00C21554"/>
    <w:rsid w:val="00C23674"/>
    <w:rsid w:val="00C2775A"/>
    <w:rsid w:val="00C32FCE"/>
    <w:rsid w:val="00C4131C"/>
    <w:rsid w:val="00C414A4"/>
    <w:rsid w:val="00C43FEC"/>
    <w:rsid w:val="00C51934"/>
    <w:rsid w:val="00C522A3"/>
    <w:rsid w:val="00C54FAE"/>
    <w:rsid w:val="00C55927"/>
    <w:rsid w:val="00C55D56"/>
    <w:rsid w:val="00C56ACD"/>
    <w:rsid w:val="00C615C2"/>
    <w:rsid w:val="00C65DDF"/>
    <w:rsid w:val="00C72131"/>
    <w:rsid w:val="00C81190"/>
    <w:rsid w:val="00C81F93"/>
    <w:rsid w:val="00C8589A"/>
    <w:rsid w:val="00C91784"/>
    <w:rsid w:val="00C93514"/>
    <w:rsid w:val="00C93B8B"/>
    <w:rsid w:val="00CA1DD2"/>
    <w:rsid w:val="00CD06AF"/>
    <w:rsid w:val="00CD0E82"/>
    <w:rsid w:val="00CD1206"/>
    <w:rsid w:val="00D01380"/>
    <w:rsid w:val="00D05C6C"/>
    <w:rsid w:val="00D05CA6"/>
    <w:rsid w:val="00D07FD2"/>
    <w:rsid w:val="00D155E5"/>
    <w:rsid w:val="00D218B9"/>
    <w:rsid w:val="00D22C58"/>
    <w:rsid w:val="00D25F00"/>
    <w:rsid w:val="00D275CC"/>
    <w:rsid w:val="00D3346C"/>
    <w:rsid w:val="00D36662"/>
    <w:rsid w:val="00D36DDD"/>
    <w:rsid w:val="00D43C68"/>
    <w:rsid w:val="00D43D81"/>
    <w:rsid w:val="00D46BAF"/>
    <w:rsid w:val="00D5026C"/>
    <w:rsid w:val="00D51FC7"/>
    <w:rsid w:val="00D767C4"/>
    <w:rsid w:val="00D77CF5"/>
    <w:rsid w:val="00D864E0"/>
    <w:rsid w:val="00D915AA"/>
    <w:rsid w:val="00D93CA9"/>
    <w:rsid w:val="00D977F0"/>
    <w:rsid w:val="00DA2757"/>
    <w:rsid w:val="00DB1B49"/>
    <w:rsid w:val="00DB4FB4"/>
    <w:rsid w:val="00DC59E2"/>
    <w:rsid w:val="00DD29DC"/>
    <w:rsid w:val="00DD33D0"/>
    <w:rsid w:val="00DD67E6"/>
    <w:rsid w:val="00DE73FF"/>
    <w:rsid w:val="00DF0DBB"/>
    <w:rsid w:val="00E01227"/>
    <w:rsid w:val="00E025A6"/>
    <w:rsid w:val="00E054D4"/>
    <w:rsid w:val="00E066DB"/>
    <w:rsid w:val="00E13AEC"/>
    <w:rsid w:val="00E14E8C"/>
    <w:rsid w:val="00E21D40"/>
    <w:rsid w:val="00E23E22"/>
    <w:rsid w:val="00E26D4A"/>
    <w:rsid w:val="00E26F7C"/>
    <w:rsid w:val="00E32A5E"/>
    <w:rsid w:val="00E332BD"/>
    <w:rsid w:val="00E33B68"/>
    <w:rsid w:val="00E352EB"/>
    <w:rsid w:val="00E46206"/>
    <w:rsid w:val="00E4726A"/>
    <w:rsid w:val="00E47D94"/>
    <w:rsid w:val="00E5406D"/>
    <w:rsid w:val="00E6172F"/>
    <w:rsid w:val="00E634DF"/>
    <w:rsid w:val="00E75E80"/>
    <w:rsid w:val="00E82A28"/>
    <w:rsid w:val="00E85380"/>
    <w:rsid w:val="00E9000A"/>
    <w:rsid w:val="00E962C5"/>
    <w:rsid w:val="00E96861"/>
    <w:rsid w:val="00EA3488"/>
    <w:rsid w:val="00EA4F32"/>
    <w:rsid w:val="00EA534F"/>
    <w:rsid w:val="00EB5F7D"/>
    <w:rsid w:val="00EB666B"/>
    <w:rsid w:val="00EB7923"/>
    <w:rsid w:val="00EB7996"/>
    <w:rsid w:val="00EC1204"/>
    <w:rsid w:val="00EC5284"/>
    <w:rsid w:val="00EC589F"/>
    <w:rsid w:val="00EC5C76"/>
    <w:rsid w:val="00EE549F"/>
    <w:rsid w:val="00EF02DF"/>
    <w:rsid w:val="00EF46A2"/>
    <w:rsid w:val="00F03ACE"/>
    <w:rsid w:val="00F03C66"/>
    <w:rsid w:val="00F04BD4"/>
    <w:rsid w:val="00F05682"/>
    <w:rsid w:val="00F1100C"/>
    <w:rsid w:val="00F134C7"/>
    <w:rsid w:val="00F135CB"/>
    <w:rsid w:val="00F26EEE"/>
    <w:rsid w:val="00F31BC3"/>
    <w:rsid w:val="00F42785"/>
    <w:rsid w:val="00F50561"/>
    <w:rsid w:val="00F50D8B"/>
    <w:rsid w:val="00F561C3"/>
    <w:rsid w:val="00F6081B"/>
    <w:rsid w:val="00F62194"/>
    <w:rsid w:val="00F669D1"/>
    <w:rsid w:val="00F672BA"/>
    <w:rsid w:val="00F673DB"/>
    <w:rsid w:val="00F72659"/>
    <w:rsid w:val="00F72907"/>
    <w:rsid w:val="00F77D59"/>
    <w:rsid w:val="00F77F69"/>
    <w:rsid w:val="00F85483"/>
    <w:rsid w:val="00F97D64"/>
    <w:rsid w:val="00FA4658"/>
    <w:rsid w:val="00FA4724"/>
    <w:rsid w:val="00FB0D9E"/>
    <w:rsid w:val="00FB1251"/>
    <w:rsid w:val="00FB7B2F"/>
    <w:rsid w:val="00FC1E5C"/>
    <w:rsid w:val="00FC1F9A"/>
    <w:rsid w:val="00FC3E57"/>
    <w:rsid w:val="00FC649F"/>
    <w:rsid w:val="00FC7175"/>
    <w:rsid w:val="00FC782E"/>
    <w:rsid w:val="00FD085A"/>
    <w:rsid w:val="00FD2343"/>
    <w:rsid w:val="00FD543C"/>
    <w:rsid w:val="00FE3AEB"/>
    <w:rsid w:val="00FE4CAD"/>
    <w:rsid w:val="00FF241B"/>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qFormat/>
    <w:rsid w:val="003B7888"/>
    <w:rPr>
      <w:rFonts w:ascii="Arial" w:hAnsi="Arial"/>
      <w:sz w:val="18"/>
      <w:lang w:val="en-GB" w:eastAsia="en-US"/>
    </w:rPr>
  </w:style>
  <w:style w:type="table" w:styleId="TableGrid">
    <w:name w:val="Table Grid"/>
    <w:basedOn w:val="TableNormal"/>
    <w:uiPriority w:val="39"/>
    <w:qFormat/>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 w:type="paragraph" w:customStyle="1" w:styleId="N1">
    <w:name w:val="N1"/>
    <w:basedOn w:val="Normal"/>
    <w:link w:val="N1Char"/>
    <w:qFormat/>
    <w:rsid w:val="00012ED3"/>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012ED3"/>
    <w:rPr>
      <w:rFonts w:asciiTheme="minorHAnsi" w:hAnsiTheme="minorHAnsi" w:cstheme="minorHAnsi"/>
      <w:sz w:val="22"/>
      <w:szCs w:val="22"/>
      <w:lang w:val="en-US" w:eastAsia="ko-KR" w:bidi="hi-IN"/>
    </w:rPr>
  </w:style>
  <w:style w:type="character" w:customStyle="1" w:styleId="fontstyle01">
    <w:name w:val="fontstyle01"/>
    <w:basedOn w:val="DefaultParagraphFont"/>
    <w:rsid w:val="00B5436F"/>
    <w:rPr>
      <w:rFonts w:ascii="ArialMT" w:hAnsi="ArialMT" w:hint="default"/>
      <w:b w:val="0"/>
      <w:bCs w:val="0"/>
      <w:i w:val="0"/>
      <w:iCs w:val="0"/>
      <w:color w:val="000000"/>
      <w:sz w:val="18"/>
      <w:szCs w:val="18"/>
    </w:rPr>
  </w:style>
  <w:style w:type="table" w:styleId="TableElegant">
    <w:name w:val="Table Elegant"/>
    <w:basedOn w:val="TableNormal"/>
    <w:rsid w:val="008D6173"/>
    <w:rPr>
      <w:rFonts w:ascii="Times New Roman" w:eastAsia="SimSun" w:hAnsi="Times New Roman"/>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73011539">
      <w:bodyDiv w:val="1"/>
      <w:marLeft w:val="0"/>
      <w:marRight w:val="0"/>
      <w:marTop w:val="0"/>
      <w:marBottom w:val="0"/>
      <w:divBdr>
        <w:top w:val="none" w:sz="0" w:space="0" w:color="auto"/>
        <w:left w:val="none" w:sz="0" w:space="0" w:color="auto"/>
        <w:bottom w:val="none" w:sz="0" w:space="0" w:color="auto"/>
        <w:right w:val="none" w:sz="0" w:space="0" w:color="auto"/>
      </w:divBdr>
      <w:divsChild>
        <w:div w:id="2064255584">
          <w:marLeft w:val="1195"/>
          <w:marRight w:val="0"/>
          <w:marTop w:val="213"/>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34612092">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23786744">
      <w:bodyDiv w:val="1"/>
      <w:marLeft w:val="0"/>
      <w:marRight w:val="0"/>
      <w:marTop w:val="0"/>
      <w:marBottom w:val="0"/>
      <w:divBdr>
        <w:top w:val="none" w:sz="0" w:space="0" w:color="auto"/>
        <w:left w:val="none" w:sz="0" w:space="0" w:color="auto"/>
        <w:bottom w:val="none" w:sz="0" w:space="0" w:color="auto"/>
        <w:right w:val="none" w:sz="0" w:space="0" w:color="auto"/>
      </w:divBdr>
      <w:divsChild>
        <w:div w:id="1783643233">
          <w:marLeft w:val="274"/>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60875900">
      <w:bodyDiv w:val="1"/>
      <w:marLeft w:val="0"/>
      <w:marRight w:val="0"/>
      <w:marTop w:val="0"/>
      <w:marBottom w:val="0"/>
      <w:divBdr>
        <w:top w:val="none" w:sz="0" w:space="0" w:color="auto"/>
        <w:left w:val="none" w:sz="0" w:space="0" w:color="auto"/>
        <w:bottom w:val="none" w:sz="0" w:space="0" w:color="auto"/>
        <w:right w:val="none" w:sz="0" w:space="0" w:color="auto"/>
      </w:divBdr>
    </w:div>
    <w:div w:id="791441674">
      <w:bodyDiv w:val="1"/>
      <w:marLeft w:val="0"/>
      <w:marRight w:val="0"/>
      <w:marTop w:val="0"/>
      <w:marBottom w:val="0"/>
      <w:divBdr>
        <w:top w:val="none" w:sz="0" w:space="0" w:color="auto"/>
        <w:left w:val="none" w:sz="0" w:space="0" w:color="auto"/>
        <w:bottom w:val="none" w:sz="0" w:space="0" w:color="auto"/>
        <w:right w:val="none" w:sz="0" w:space="0" w:color="auto"/>
      </w:divBdr>
      <w:divsChild>
        <w:div w:id="1145855961">
          <w:marLeft w:val="116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74263825">
      <w:bodyDiv w:val="1"/>
      <w:marLeft w:val="0"/>
      <w:marRight w:val="0"/>
      <w:marTop w:val="0"/>
      <w:marBottom w:val="0"/>
      <w:divBdr>
        <w:top w:val="none" w:sz="0" w:space="0" w:color="auto"/>
        <w:left w:val="none" w:sz="0" w:space="0" w:color="auto"/>
        <w:bottom w:val="none" w:sz="0" w:space="0" w:color="auto"/>
        <w:right w:val="none" w:sz="0" w:space="0" w:color="auto"/>
      </w:divBdr>
      <w:divsChild>
        <w:div w:id="92013463">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081945883">
      <w:bodyDiv w:val="1"/>
      <w:marLeft w:val="0"/>
      <w:marRight w:val="0"/>
      <w:marTop w:val="0"/>
      <w:marBottom w:val="0"/>
      <w:divBdr>
        <w:top w:val="none" w:sz="0" w:space="0" w:color="auto"/>
        <w:left w:val="none" w:sz="0" w:space="0" w:color="auto"/>
        <w:bottom w:val="none" w:sz="0" w:space="0" w:color="auto"/>
        <w:right w:val="none" w:sz="0" w:space="0" w:color="auto"/>
      </w:divBdr>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242367865">
      <w:bodyDiv w:val="1"/>
      <w:marLeft w:val="0"/>
      <w:marRight w:val="0"/>
      <w:marTop w:val="0"/>
      <w:marBottom w:val="0"/>
      <w:divBdr>
        <w:top w:val="none" w:sz="0" w:space="0" w:color="auto"/>
        <w:left w:val="none" w:sz="0" w:space="0" w:color="auto"/>
        <w:bottom w:val="none" w:sz="0" w:space="0" w:color="auto"/>
        <w:right w:val="none" w:sz="0" w:space="0" w:color="auto"/>
      </w:divBdr>
      <w:divsChild>
        <w:div w:id="1958366115">
          <w:marLeft w:val="1166"/>
          <w:marRight w:val="0"/>
          <w:marTop w:val="0"/>
          <w:marBottom w:val="0"/>
          <w:divBdr>
            <w:top w:val="none" w:sz="0" w:space="0" w:color="auto"/>
            <w:left w:val="none" w:sz="0" w:space="0" w:color="auto"/>
            <w:bottom w:val="none" w:sz="0" w:space="0" w:color="auto"/>
            <w:right w:val="none" w:sz="0" w:space="0" w:color="auto"/>
          </w:divBdr>
        </w:div>
      </w:divsChild>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50937049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8273371">
      <w:bodyDiv w:val="1"/>
      <w:marLeft w:val="0"/>
      <w:marRight w:val="0"/>
      <w:marTop w:val="0"/>
      <w:marBottom w:val="0"/>
      <w:divBdr>
        <w:top w:val="none" w:sz="0" w:space="0" w:color="auto"/>
        <w:left w:val="none" w:sz="0" w:space="0" w:color="auto"/>
        <w:bottom w:val="none" w:sz="0" w:space="0" w:color="auto"/>
        <w:right w:val="none" w:sz="0" w:space="0" w:color="auto"/>
      </w:divBdr>
      <w:divsChild>
        <w:div w:id="1507402364">
          <w:marLeft w:val="1166"/>
          <w:marRight w:val="0"/>
          <w:marTop w:val="0"/>
          <w:marBottom w:val="0"/>
          <w:divBdr>
            <w:top w:val="none" w:sz="0" w:space="0" w:color="auto"/>
            <w:left w:val="none" w:sz="0" w:space="0" w:color="auto"/>
            <w:bottom w:val="none" w:sz="0" w:space="0" w:color="auto"/>
            <w:right w:val="none" w:sz="0" w:space="0" w:color="auto"/>
          </w:divBdr>
        </w:div>
        <w:div w:id="2039423908">
          <w:marLeft w:val="1166"/>
          <w:marRight w:val="0"/>
          <w:marTop w:val="0"/>
          <w:marBottom w:val="0"/>
          <w:divBdr>
            <w:top w:val="none" w:sz="0" w:space="0" w:color="auto"/>
            <w:left w:val="none" w:sz="0" w:space="0" w:color="auto"/>
            <w:bottom w:val="none" w:sz="0" w:space="0" w:color="auto"/>
            <w:right w:val="none" w:sz="0" w:space="0" w:color="auto"/>
          </w:divBdr>
        </w:div>
      </w:divsChild>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44274134">
      <w:bodyDiv w:val="1"/>
      <w:marLeft w:val="0"/>
      <w:marRight w:val="0"/>
      <w:marTop w:val="0"/>
      <w:marBottom w:val="0"/>
      <w:divBdr>
        <w:top w:val="none" w:sz="0" w:space="0" w:color="auto"/>
        <w:left w:val="none" w:sz="0" w:space="0" w:color="auto"/>
        <w:bottom w:val="none" w:sz="0" w:space="0" w:color="auto"/>
        <w:right w:val="none" w:sz="0" w:space="0" w:color="auto"/>
      </w:divBdr>
    </w:div>
    <w:div w:id="1856730154">
      <w:bodyDiv w:val="1"/>
      <w:marLeft w:val="0"/>
      <w:marRight w:val="0"/>
      <w:marTop w:val="0"/>
      <w:marBottom w:val="0"/>
      <w:divBdr>
        <w:top w:val="none" w:sz="0" w:space="0" w:color="auto"/>
        <w:left w:val="none" w:sz="0" w:space="0" w:color="auto"/>
        <w:bottom w:val="none" w:sz="0" w:space="0" w:color="auto"/>
        <w:right w:val="none" w:sz="0" w:space="0" w:color="auto"/>
      </w:divBdr>
      <w:divsChild>
        <w:div w:id="49617192">
          <w:marLeft w:val="1166"/>
          <w:marRight w:val="0"/>
          <w:marTop w:val="0"/>
          <w:marBottom w:val="0"/>
          <w:divBdr>
            <w:top w:val="none" w:sz="0" w:space="0" w:color="auto"/>
            <w:left w:val="none" w:sz="0" w:space="0" w:color="auto"/>
            <w:bottom w:val="none" w:sz="0" w:space="0" w:color="auto"/>
            <w:right w:val="none" w:sz="0" w:space="0" w:color="auto"/>
          </w:divBdr>
        </w:div>
        <w:div w:id="178810977">
          <w:marLeft w:val="1166"/>
          <w:marRight w:val="0"/>
          <w:marTop w:val="0"/>
          <w:marBottom w:val="0"/>
          <w:divBdr>
            <w:top w:val="none" w:sz="0" w:space="0" w:color="auto"/>
            <w:left w:val="none" w:sz="0" w:space="0" w:color="auto"/>
            <w:bottom w:val="none" w:sz="0" w:space="0" w:color="auto"/>
            <w:right w:val="none" w:sz="0" w:space="0" w:color="auto"/>
          </w:divBdr>
        </w:div>
      </w:divsChild>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B1E6E-DAFB-4ED4-8893-8DC34FB3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3</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Intel</cp:lastModifiedBy>
  <cp:revision>80</cp:revision>
  <cp:lastPrinted>1899-12-31T22:00:00Z</cp:lastPrinted>
  <dcterms:created xsi:type="dcterms:W3CDTF">2021-03-31T02:44:00Z</dcterms:created>
  <dcterms:modified xsi:type="dcterms:W3CDTF">2021-04-02T22:10:00Z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